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3BA82" w14:textId="297106D2" w:rsidR="00A72291" w:rsidRPr="00C762DD" w:rsidRDefault="00674B61" w:rsidP="0014174E">
      <w:pPr>
        <w:jc w:val="center"/>
        <w:rPr>
          <w:b/>
          <w:bCs/>
        </w:rPr>
      </w:pPr>
      <w:r>
        <w:rPr>
          <w:b/>
          <w:bCs/>
        </w:rPr>
        <w:t xml:space="preserve">NIVEL DE </w:t>
      </w:r>
      <w:r w:rsidR="00CD1777">
        <w:rPr>
          <w:b/>
          <w:bCs/>
        </w:rPr>
        <w:t>APALANCAMIENTO</w:t>
      </w:r>
      <w:r w:rsidR="00543299">
        <w:rPr>
          <w:b/>
          <w:bCs/>
        </w:rPr>
        <w:t xml:space="preserve"> Y </w:t>
      </w:r>
      <w:r w:rsidR="00CD1777">
        <w:rPr>
          <w:b/>
          <w:bCs/>
        </w:rPr>
        <w:t xml:space="preserve">ESTABILIDAD </w:t>
      </w:r>
      <w:r w:rsidR="00543299">
        <w:rPr>
          <w:b/>
          <w:bCs/>
        </w:rPr>
        <w:t>FINANCIERA</w:t>
      </w:r>
      <w:r w:rsidR="00CD1777">
        <w:rPr>
          <w:b/>
          <w:bCs/>
        </w:rPr>
        <w:t xml:space="preserve"> EMPRESARIAL</w:t>
      </w:r>
      <w:r w:rsidR="00875B04">
        <w:rPr>
          <w:b/>
          <w:bCs/>
        </w:rPr>
        <w:t xml:space="preserve">: </w:t>
      </w:r>
      <w:r w:rsidR="00BC02F9">
        <w:rPr>
          <w:b/>
          <w:bCs/>
        </w:rPr>
        <w:t>CASO</w:t>
      </w:r>
      <w:r w:rsidR="00543299">
        <w:rPr>
          <w:b/>
          <w:bCs/>
        </w:rPr>
        <w:t xml:space="preserve"> DE </w:t>
      </w:r>
      <w:r w:rsidR="00746420">
        <w:rPr>
          <w:b/>
          <w:bCs/>
        </w:rPr>
        <w:t>FIRMAS</w:t>
      </w:r>
      <w:r w:rsidR="577BF0F5" w:rsidRPr="577BF0F5">
        <w:rPr>
          <w:b/>
          <w:bCs/>
        </w:rPr>
        <w:t xml:space="preserve"> DE COLOMBIA Y ARGENTINA</w:t>
      </w:r>
    </w:p>
    <w:p w14:paraId="5BDEAB8C" w14:textId="77777777" w:rsidR="0014174E" w:rsidRDefault="0014174E" w:rsidP="00674B61">
      <w:pPr>
        <w:jc w:val="center"/>
        <w:rPr>
          <w:b/>
          <w:bCs/>
        </w:rPr>
      </w:pPr>
    </w:p>
    <w:p w14:paraId="0867FCB2" w14:textId="666E9FDD" w:rsidR="0014174E" w:rsidRDefault="00674B61" w:rsidP="00674B61">
      <w:pPr>
        <w:jc w:val="center"/>
        <w:rPr>
          <w:b/>
          <w:bCs/>
        </w:rPr>
      </w:pPr>
      <w:r w:rsidRPr="00674B61">
        <w:rPr>
          <w:b/>
          <w:bCs/>
        </w:rPr>
        <w:t xml:space="preserve">LEVEL OF LEVERAGE AND BUSINESS FINANCIAL STABILITY: CASE OF </w:t>
      </w:r>
      <w:r w:rsidR="0065327B">
        <w:rPr>
          <w:b/>
          <w:bCs/>
        </w:rPr>
        <w:t>FIRMS</w:t>
      </w:r>
      <w:r w:rsidRPr="00674B61">
        <w:rPr>
          <w:b/>
          <w:bCs/>
        </w:rPr>
        <w:t xml:space="preserve"> OF COLOMBIA AND ARGENTINA</w:t>
      </w:r>
    </w:p>
    <w:p w14:paraId="15278DA1" w14:textId="77777777" w:rsidR="00674B61" w:rsidRDefault="00674B61" w:rsidP="0014174E">
      <w:pPr>
        <w:jc w:val="both"/>
        <w:rPr>
          <w:b/>
          <w:bCs/>
        </w:rPr>
      </w:pPr>
    </w:p>
    <w:p w14:paraId="0F918420" w14:textId="77777777" w:rsidR="000A438B" w:rsidRPr="002E33D6" w:rsidRDefault="577BF0F5" w:rsidP="007A272B">
      <w:pPr>
        <w:jc w:val="both"/>
        <w:outlineLvl w:val="0"/>
        <w:rPr>
          <w:b/>
          <w:bCs/>
        </w:rPr>
      </w:pPr>
      <w:r w:rsidRPr="577BF0F5">
        <w:rPr>
          <w:b/>
          <w:bCs/>
        </w:rPr>
        <w:t>Resumen</w:t>
      </w:r>
    </w:p>
    <w:p w14:paraId="2EC6696D" w14:textId="40BFA5CF" w:rsidR="000A438B" w:rsidRPr="00720557" w:rsidRDefault="577BF0F5" w:rsidP="0014174E">
      <w:pPr>
        <w:jc w:val="both"/>
      </w:pPr>
      <w:r w:rsidRPr="577BF0F5">
        <w:t xml:space="preserve">Este trabajo explica el efecto que tiene </w:t>
      </w:r>
      <w:r w:rsidR="00674B61">
        <w:t>un escenario de inestabilidad</w:t>
      </w:r>
      <w:r w:rsidRPr="577BF0F5">
        <w:t xml:space="preserve"> financiera </w:t>
      </w:r>
      <w:r w:rsidR="00905F72">
        <w:t>en</w:t>
      </w:r>
      <w:r w:rsidR="00674B61">
        <w:t xml:space="preserve"> la estructura de capital </w:t>
      </w:r>
      <w:r w:rsidRPr="577BF0F5">
        <w:t xml:space="preserve">de las </w:t>
      </w:r>
      <w:r w:rsidR="00544A4A">
        <w:t>firmas</w:t>
      </w:r>
      <w:r w:rsidRPr="577BF0F5">
        <w:t xml:space="preserve"> de Colombia y Argentina. Se utiliza un panel desbalanceado para 167 empresas, entre 2005 y 2015, y se realizan regresiones con el método de Efectos Aleatorios</w:t>
      </w:r>
      <w:r w:rsidR="0046100F">
        <w:t>, considerando como fundamentación a teorías sobre la dinámica de la estructura de capital y el origen de las crisis financieras a nivel macroeconómico y a nivel de firma</w:t>
      </w:r>
      <w:r w:rsidRPr="577BF0F5">
        <w:t xml:space="preserve">. Se evidencia que </w:t>
      </w:r>
      <w:r w:rsidR="0046100F">
        <w:t xml:space="preserve">los factores asociadas con la inestabilidad financiera </w:t>
      </w:r>
      <w:r w:rsidRPr="577BF0F5">
        <w:t>de</w:t>
      </w:r>
      <w:r w:rsidR="0046100F">
        <w:t xml:space="preserve"> las empresas (entendidos como iliquidez y</w:t>
      </w:r>
      <w:r w:rsidRPr="577BF0F5">
        <w:t xml:space="preserve"> pérdidas) son los más de</w:t>
      </w:r>
      <w:r w:rsidR="0046100F">
        <w:t>stacados para modificar el nivel de apalancamiento, y, por tanto, síntomas de insolvencia financiera con</w:t>
      </w:r>
      <w:r w:rsidR="00DF224F">
        <w:t>ducen a que las firmas se sobre-</w:t>
      </w:r>
      <w:r w:rsidR="0046100F">
        <w:t>endeuden, y propaguen las condiciones que lleven a la aparición de una crisis financiera</w:t>
      </w:r>
      <w:r>
        <w:t>.</w:t>
      </w:r>
    </w:p>
    <w:p w14:paraId="1855DC2F" w14:textId="77777777" w:rsidR="0014174E" w:rsidRDefault="0014174E" w:rsidP="0014174E">
      <w:pPr>
        <w:jc w:val="both"/>
        <w:rPr>
          <w:b/>
          <w:bCs/>
        </w:rPr>
      </w:pPr>
    </w:p>
    <w:p w14:paraId="54D9EB8D" w14:textId="052756EA" w:rsidR="000A438B" w:rsidRDefault="577BF0F5" w:rsidP="0014174E">
      <w:pPr>
        <w:jc w:val="both"/>
      </w:pPr>
      <w:r w:rsidRPr="577BF0F5">
        <w:rPr>
          <w:b/>
          <w:bCs/>
        </w:rPr>
        <w:t>Palabras clave:</w:t>
      </w:r>
      <w:r w:rsidRPr="577BF0F5">
        <w:t xml:space="preserve"> Nivel de apalancamiento, estructura de capital, crisis financiera, </w:t>
      </w:r>
      <w:r w:rsidR="0046100F">
        <w:t>estabili</w:t>
      </w:r>
      <w:r w:rsidRPr="577BF0F5">
        <w:t>d</w:t>
      </w:r>
      <w:r w:rsidR="0046100F">
        <w:t>ad</w:t>
      </w:r>
      <w:r w:rsidRPr="577BF0F5">
        <w:t xml:space="preserve"> financiera.</w:t>
      </w:r>
    </w:p>
    <w:p w14:paraId="30ECAE4C" w14:textId="77777777" w:rsidR="0014174E" w:rsidRDefault="0014174E" w:rsidP="0014174E">
      <w:pPr>
        <w:jc w:val="both"/>
        <w:rPr>
          <w:b/>
          <w:bCs/>
        </w:rPr>
      </w:pPr>
    </w:p>
    <w:p w14:paraId="472E57F7" w14:textId="77777777" w:rsidR="000A438B" w:rsidRDefault="577BF0F5" w:rsidP="007A272B">
      <w:pPr>
        <w:jc w:val="both"/>
        <w:outlineLvl w:val="0"/>
      </w:pPr>
      <w:r w:rsidRPr="577BF0F5">
        <w:rPr>
          <w:b/>
          <w:bCs/>
        </w:rPr>
        <w:t xml:space="preserve">Clasificación JEL: </w:t>
      </w:r>
      <w:r w:rsidRPr="577BF0F5">
        <w:t>G31, G01, C23</w:t>
      </w:r>
    </w:p>
    <w:p w14:paraId="3D64CBE9" w14:textId="77777777" w:rsidR="00033503" w:rsidRDefault="00033503" w:rsidP="0014174E">
      <w:pPr>
        <w:jc w:val="both"/>
        <w:rPr>
          <w:lang w:val="es-ES_tradnl"/>
        </w:rPr>
      </w:pPr>
    </w:p>
    <w:p w14:paraId="5EEF90F8" w14:textId="50701185" w:rsidR="00033503" w:rsidRPr="003F6F61" w:rsidRDefault="577BF0F5" w:rsidP="007A272B">
      <w:pPr>
        <w:jc w:val="both"/>
        <w:outlineLvl w:val="0"/>
        <w:rPr>
          <w:b/>
          <w:bCs/>
        </w:rPr>
      </w:pPr>
      <w:r w:rsidRPr="577BF0F5">
        <w:rPr>
          <w:b/>
          <w:bCs/>
        </w:rPr>
        <w:t>Abstract</w:t>
      </w:r>
    </w:p>
    <w:p w14:paraId="63F37E7F" w14:textId="277C00C3" w:rsidR="005E6068" w:rsidRDefault="0046100F" w:rsidP="0014174E">
      <w:pPr>
        <w:jc w:val="both"/>
        <w:rPr>
          <w:lang w:val="en-US"/>
        </w:rPr>
      </w:pPr>
      <w:r w:rsidRPr="0046100F">
        <w:rPr>
          <w:lang w:val="en-US"/>
        </w:rPr>
        <w:t>This paper explains the effect that a scenario of financial instability has on the capital structure of the Colombian and Argentine firms. An unbalanced panel is used for 167 companies, between 2005 and 2015, and regressions are carried out with the Random Effects method, considering as the basis theories on the dynamics of the capital structure and the origin of the financial crises at a macroeconomic and financial level. of signature. It is evident that the factors associated with the financial instability of the companies (understood as illiquidity and losses) are the most outstanding for modifying the level of leverage, and, therefore, symptoms of financial insolvency lead to firms being over-indebted, and propagate the conditions that lead to the emergence of a financial crisis.</w:t>
      </w:r>
    </w:p>
    <w:p w14:paraId="03843D1E" w14:textId="77777777" w:rsidR="0014174E" w:rsidRDefault="0014174E" w:rsidP="0014174E">
      <w:pPr>
        <w:jc w:val="both"/>
        <w:rPr>
          <w:lang w:val="en-US"/>
        </w:rPr>
      </w:pPr>
    </w:p>
    <w:p w14:paraId="03296280" w14:textId="5395737A" w:rsidR="0014174E" w:rsidRPr="00C0248E" w:rsidRDefault="009F21B9" w:rsidP="007A272B">
      <w:pPr>
        <w:jc w:val="both"/>
        <w:outlineLvl w:val="0"/>
        <w:rPr>
          <w:lang w:val="en-US"/>
        </w:rPr>
      </w:pPr>
      <w:r>
        <w:rPr>
          <w:b/>
          <w:lang w:val="en-US"/>
        </w:rPr>
        <w:t xml:space="preserve">Key words: </w:t>
      </w:r>
      <w:r w:rsidR="00C0248E" w:rsidRPr="00C0248E">
        <w:rPr>
          <w:lang w:val="en-US"/>
        </w:rPr>
        <w:t>Level of leverage, capital structure, financial crisis, financial</w:t>
      </w:r>
      <w:r w:rsidR="0046100F">
        <w:rPr>
          <w:lang w:val="en-US"/>
        </w:rPr>
        <w:t xml:space="preserve"> stability</w:t>
      </w:r>
    </w:p>
    <w:p w14:paraId="65B46E41" w14:textId="77777777" w:rsidR="0014174E" w:rsidRDefault="0014174E" w:rsidP="0014174E">
      <w:pPr>
        <w:jc w:val="both"/>
        <w:rPr>
          <w:lang w:val="en-US"/>
        </w:rPr>
      </w:pPr>
    </w:p>
    <w:p w14:paraId="55F6932D" w14:textId="77777777" w:rsidR="0014174E" w:rsidRDefault="0014174E" w:rsidP="0014174E">
      <w:pPr>
        <w:jc w:val="both"/>
        <w:rPr>
          <w:lang w:val="en-US"/>
        </w:rPr>
      </w:pPr>
    </w:p>
    <w:p w14:paraId="6F790DF2" w14:textId="77777777" w:rsidR="0014174E" w:rsidRDefault="0014174E" w:rsidP="0014174E">
      <w:pPr>
        <w:jc w:val="both"/>
        <w:rPr>
          <w:lang w:val="en-US"/>
        </w:rPr>
      </w:pPr>
    </w:p>
    <w:p w14:paraId="1218ECA3" w14:textId="77777777" w:rsidR="0014174E" w:rsidRDefault="0014174E" w:rsidP="0014174E">
      <w:pPr>
        <w:jc w:val="both"/>
        <w:rPr>
          <w:lang w:val="en-US"/>
        </w:rPr>
      </w:pPr>
    </w:p>
    <w:p w14:paraId="613AD618" w14:textId="77777777" w:rsidR="0014174E" w:rsidRDefault="0014174E" w:rsidP="0014174E">
      <w:pPr>
        <w:jc w:val="both"/>
        <w:rPr>
          <w:lang w:val="en-US"/>
        </w:rPr>
      </w:pPr>
    </w:p>
    <w:p w14:paraId="29344F5B" w14:textId="77777777" w:rsidR="0014174E" w:rsidRDefault="0014174E" w:rsidP="0014174E">
      <w:pPr>
        <w:jc w:val="both"/>
        <w:rPr>
          <w:lang w:val="en-US"/>
        </w:rPr>
      </w:pPr>
    </w:p>
    <w:p w14:paraId="56D51A78" w14:textId="77777777" w:rsidR="0014174E" w:rsidRDefault="0014174E" w:rsidP="0014174E">
      <w:pPr>
        <w:jc w:val="both"/>
        <w:rPr>
          <w:lang w:val="en-US"/>
        </w:rPr>
      </w:pPr>
    </w:p>
    <w:p w14:paraId="48654137" w14:textId="77777777" w:rsidR="0014174E" w:rsidRDefault="0014174E" w:rsidP="0014174E">
      <w:pPr>
        <w:jc w:val="both"/>
        <w:rPr>
          <w:lang w:val="en-US"/>
        </w:rPr>
      </w:pPr>
    </w:p>
    <w:p w14:paraId="6F83A9BA" w14:textId="77777777" w:rsidR="0014174E" w:rsidRDefault="0014174E" w:rsidP="0014174E">
      <w:pPr>
        <w:jc w:val="both"/>
        <w:rPr>
          <w:lang w:val="en-US"/>
        </w:rPr>
      </w:pPr>
    </w:p>
    <w:p w14:paraId="2913411A" w14:textId="77777777" w:rsidR="0014174E" w:rsidRDefault="0014174E" w:rsidP="0014174E">
      <w:pPr>
        <w:jc w:val="both"/>
        <w:rPr>
          <w:lang w:val="en-US"/>
        </w:rPr>
      </w:pPr>
    </w:p>
    <w:p w14:paraId="374A85AC" w14:textId="77777777" w:rsidR="0014174E" w:rsidRDefault="0014174E" w:rsidP="0014174E">
      <w:pPr>
        <w:jc w:val="both"/>
        <w:rPr>
          <w:lang w:val="en-US"/>
        </w:rPr>
      </w:pPr>
    </w:p>
    <w:p w14:paraId="40F6E8A2" w14:textId="77777777" w:rsidR="0014174E" w:rsidRDefault="0014174E" w:rsidP="0014174E">
      <w:pPr>
        <w:jc w:val="both"/>
        <w:rPr>
          <w:lang w:val="en-US"/>
        </w:rPr>
      </w:pPr>
    </w:p>
    <w:p w14:paraId="5B475DD3" w14:textId="77777777" w:rsidR="0014174E" w:rsidRDefault="0014174E" w:rsidP="0014174E">
      <w:pPr>
        <w:jc w:val="both"/>
        <w:rPr>
          <w:lang w:val="en-US"/>
        </w:rPr>
      </w:pPr>
    </w:p>
    <w:p w14:paraId="5BE752B9" w14:textId="77777777" w:rsidR="0014174E" w:rsidRPr="00625CF0" w:rsidRDefault="0014174E" w:rsidP="0014174E">
      <w:pPr>
        <w:jc w:val="both"/>
        <w:rPr>
          <w:lang w:val="en-US"/>
        </w:rPr>
      </w:pPr>
    </w:p>
    <w:p w14:paraId="0F48B83D" w14:textId="0882EC2C" w:rsidR="002E68F5" w:rsidRPr="00846ED7" w:rsidRDefault="007F28FE" w:rsidP="0014174E">
      <w:pPr>
        <w:pStyle w:val="Prrafodelista"/>
        <w:numPr>
          <w:ilvl w:val="0"/>
          <w:numId w:val="10"/>
        </w:numPr>
        <w:jc w:val="center"/>
        <w:rPr>
          <w:b/>
          <w:bCs/>
        </w:rPr>
      </w:pPr>
      <w:r w:rsidRPr="00846ED7">
        <w:rPr>
          <w:b/>
          <w:bCs/>
        </w:rPr>
        <w:t>INTRODUCCIÓN</w:t>
      </w:r>
    </w:p>
    <w:p w14:paraId="73D0B76D" w14:textId="77777777" w:rsidR="00F95C56" w:rsidRDefault="00F95C56" w:rsidP="0014174E">
      <w:pPr>
        <w:pStyle w:val="Textoindependiente"/>
        <w:rPr>
          <w:rFonts w:ascii="Times New Roman" w:hAnsi="Times New Roman" w:cs="Times New Roman"/>
        </w:rPr>
      </w:pPr>
    </w:p>
    <w:p w14:paraId="2919C470" w14:textId="7C1A37EA" w:rsidR="00F95C56" w:rsidRDefault="577BF0F5" w:rsidP="0014174E">
      <w:pPr>
        <w:pStyle w:val="Textoindependiente"/>
        <w:ind w:firstLine="360"/>
        <w:rPr>
          <w:rFonts w:ascii="Times New Roman" w:hAnsi="Times New Roman" w:cs="Times New Roman"/>
        </w:rPr>
      </w:pPr>
      <w:r w:rsidRPr="577BF0F5">
        <w:rPr>
          <w:rFonts w:ascii="Times New Roman" w:hAnsi="Times New Roman" w:cs="Times New Roman"/>
        </w:rPr>
        <w:t>El nivel de deuda que tienen l</w:t>
      </w:r>
      <w:r w:rsidR="002375C7">
        <w:rPr>
          <w:rFonts w:ascii="Times New Roman" w:hAnsi="Times New Roman" w:cs="Times New Roman"/>
        </w:rPr>
        <w:t>as empresas es un</w:t>
      </w:r>
      <w:r w:rsidRPr="577BF0F5">
        <w:rPr>
          <w:rFonts w:ascii="Times New Roman" w:hAnsi="Times New Roman" w:cs="Times New Roman"/>
        </w:rPr>
        <w:t xml:space="preserve"> </w:t>
      </w:r>
      <w:r w:rsidR="002375C7">
        <w:rPr>
          <w:rFonts w:ascii="Times New Roman" w:hAnsi="Times New Roman" w:cs="Times New Roman"/>
        </w:rPr>
        <w:t>elemento relevante</w:t>
      </w:r>
      <w:r w:rsidRPr="577BF0F5">
        <w:rPr>
          <w:rFonts w:ascii="Times New Roman" w:hAnsi="Times New Roman" w:cs="Times New Roman"/>
        </w:rPr>
        <w:t xml:space="preserve"> </w:t>
      </w:r>
      <w:r w:rsidR="002375C7">
        <w:rPr>
          <w:rFonts w:ascii="Times New Roman" w:hAnsi="Times New Roman" w:cs="Times New Roman"/>
        </w:rPr>
        <w:t xml:space="preserve">para </w:t>
      </w:r>
      <w:r w:rsidRPr="577BF0F5">
        <w:rPr>
          <w:rFonts w:ascii="Times New Roman" w:hAnsi="Times New Roman" w:cs="Times New Roman"/>
        </w:rPr>
        <w:t xml:space="preserve">las finanzas corporativas, pues es considerado uno de los determinantes del valor de ellas (Myers, 1984); por esta razón, este trabajo responde a la pregunta: ¿Cómo afectan las épocas de </w:t>
      </w:r>
      <w:r w:rsidR="0046100F">
        <w:rPr>
          <w:rFonts w:ascii="Times New Roman" w:hAnsi="Times New Roman" w:cs="Times New Roman"/>
        </w:rPr>
        <w:t>inestabilidad</w:t>
      </w:r>
      <w:r w:rsidRPr="577BF0F5">
        <w:rPr>
          <w:rFonts w:ascii="Times New Roman" w:hAnsi="Times New Roman" w:cs="Times New Roman"/>
        </w:rPr>
        <w:t xml:space="preserve"> financiera la estructura de capital de </w:t>
      </w:r>
      <w:r w:rsidR="00F35DE6">
        <w:rPr>
          <w:rFonts w:ascii="Times New Roman" w:hAnsi="Times New Roman" w:cs="Times New Roman"/>
        </w:rPr>
        <w:t>las</w:t>
      </w:r>
      <w:r w:rsidR="0046100F">
        <w:rPr>
          <w:rFonts w:ascii="Times New Roman" w:hAnsi="Times New Roman" w:cs="Times New Roman"/>
        </w:rPr>
        <w:t xml:space="preserve"> empresas en</w:t>
      </w:r>
      <w:r w:rsidR="00F35DE6">
        <w:rPr>
          <w:rFonts w:ascii="Times New Roman" w:hAnsi="Times New Roman" w:cs="Times New Roman"/>
        </w:rPr>
        <w:t xml:space="preserve"> economías emergentes?</w:t>
      </w:r>
      <w:r w:rsidRPr="577BF0F5">
        <w:rPr>
          <w:rFonts w:ascii="Times New Roman" w:hAnsi="Times New Roman" w:cs="Times New Roman"/>
        </w:rPr>
        <w:t xml:space="preserve"> La hipótesis detrás de esta pregunta señala que cuando el entorno </w:t>
      </w:r>
      <w:r w:rsidR="0046100F">
        <w:rPr>
          <w:rFonts w:ascii="Times New Roman" w:hAnsi="Times New Roman" w:cs="Times New Roman"/>
        </w:rPr>
        <w:t xml:space="preserve">financiero de las firmas </w:t>
      </w:r>
      <w:r w:rsidRPr="577BF0F5">
        <w:rPr>
          <w:rFonts w:ascii="Times New Roman" w:hAnsi="Times New Roman" w:cs="Times New Roman"/>
        </w:rPr>
        <w:t>transita por momentos de fragilidad, las empresas deben disminuir la deuda de</w:t>
      </w:r>
      <w:r w:rsidR="002375C7">
        <w:rPr>
          <w:rFonts w:ascii="Times New Roman" w:hAnsi="Times New Roman" w:cs="Times New Roman"/>
        </w:rPr>
        <w:t>ntro de la estructura financiera</w:t>
      </w:r>
      <w:r w:rsidR="0046100F">
        <w:rPr>
          <w:rFonts w:ascii="Times New Roman" w:hAnsi="Times New Roman" w:cs="Times New Roman"/>
        </w:rPr>
        <w:t>, y, de esta manera, reducir su exposición a la crisis</w:t>
      </w:r>
      <w:r w:rsidRPr="577BF0F5">
        <w:rPr>
          <w:rFonts w:ascii="Times New Roman" w:hAnsi="Times New Roman" w:cs="Times New Roman"/>
        </w:rPr>
        <w:t>.</w:t>
      </w:r>
      <w:r w:rsidR="0046100F">
        <w:rPr>
          <w:rFonts w:ascii="Times New Roman" w:hAnsi="Times New Roman" w:cs="Times New Roman"/>
        </w:rPr>
        <w:t xml:space="preserve"> Sin embargo, cuando la respuesta de la participación de la deuda es positiva surge una tendencia a la propagación de la crisis financiera. </w:t>
      </w:r>
      <w:r w:rsidRPr="577BF0F5">
        <w:rPr>
          <w:rFonts w:ascii="Times New Roman" w:hAnsi="Times New Roman" w:cs="Times New Roman"/>
        </w:rPr>
        <w:t xml:space="preserve"> </w:t>
      </w:r>
    </w:p>
    <w:p w14:paraId="7D4C406F" w14:textId="77777777" w:rsidR="0033719F" w:rsidRDefault="0033719F" w:rsidP="001F46DA">
      <w:pPr>
        <w:pStyle w:val="Textoindependiente"/>
        <w:rPr>
          <w:rFonts w:ascii="Times New Roman" w:hAnsi="Times New Roman" w:cs="Times New Roman"/>
        </w:rPr>
      </w:pPr>
    </w:p>
    <w:p w14:paraId="55F386C3" w14:textId="2DCD9A16" w:rsidR="002375C7" w:rsidRDefault="0068566A" w:rsidP="0033719F">
      <w:pPr>
        <w:pStyle w:val="Textoindependiente"/>
        <w:ind w:firstLine="708"/>
        <w:rPr>
          <w:rFonts w:ascii="Times New Roman" w:hAnsi="Times New Roman" w:cs="Times New Roman"/>
        </w:rPr>
      </w:pPr>
      <w:r w:rsidRPr="577BF0F5">
        <w:rPr>
          <w:rFonts w:ascii="Times New Roman" w:hAnsi="Times New Roman" w:cs="Times New Roman"/>
        </w:rPr>
        <w:t>Con respecto al apalancamiento, la teoría que se ha desarrollado comienza a partir de Modigliani y Miller</w:t>
      </w:r>
      <w:r w:rsidR="00471515" w:rsidRPr="577BF0F5">
        <w:rPr>
          <w:rFonts w:ascii="Times New Roman" w:hAnsi="Times New Roman" w:cs="Times New Roman"/>
        </w:rPr>
        <w:t xml:space="preserve"> </w:t>
      </w:r>
      <w:sdt>
        <w:sdtPr>
          <w:rPr>
            <w:rFonts w:ascii="Times New Roman" w:hAnsi="Times New Roman" w:cs="Times New Roman"/>
          </w:rPr>
          <w:id w:val="-1116756570"/>
          <w:citation/>
        </w:sdtPr>
        <w:sdtEndPr/>
        <w:sdtContent>
          <w:r w:rsidR="00824E25">
            <w:rPr>
              <w:rFonts w:ascii="Times New Roman" w:hAnsi="Times New Roman" w:cs="Times New Roman"/>
            </w:rPr>
            <w:fldChar w:fldCharType="begin"/>
          </w:r>
          <w:r w:rsidR="00471515">
            <w:rPr>
              <w:rFonts w:ascii="Times New Roman" w:hAnsi="Times New Roman" w:cs="Times New Roman"/>
              <w:lang w:val="es-CO"/>
            </w:rPr>
            <w:instrText xml:space="preserve">CITATION Mod58 \n  \t  \m Mod63 \n  \t  \l 9226 </w:instrText>
          </w:r>
          <w:r w:rsidR="00824E25">
            <w:rPr>
              <w:rFonts w:ascii="Times New Roman" w:hAnsi="Times New Roman" w:cs="Times New Roman"/>
            </w:rPr>
            <w:fldChar w:fldCharType="separate"/>
          </w:r>
          <w:r w:rsidR="000A438B" w:rsidRPr="000A438B">
            <w:rPr>
              <w:rFonts w:ascii="Times New Roman" w:hAnsi="Times New Roman" w:cs="Times New Roman"/>
              <w:noProof/>
              <w:lang w:val="es-CO"/>
            </w:rPr>
            <w:t>(1958; 1963)</w:t>
          </w:r>
          <w:r w:rsidR="00824E25">
            <w:rPr>
              <w:rFonts w:ascii="Times New Roman" w:hAnsi="Times New Roman" w:cs="Times New Roman"/>
            </w:rPr>
            <w:fldChar w:fldCharType="end"/>
          </w:r>
        </w:sdtContent>
      </w:sdt>
      <w:r w:rsidR="00026E7F" w:rsidRPr="577BF0F5">
        <w:rPr>
          <w:rFonts w:ascii="Times New Roman" w:hAnsi="Times New Roman" w:cs="Times New Roman"/>
        </w:rPr>
        <w:t>,</w:t>
      </w:r>
      <w:r w:rsidRPr="577BF0F5">
        <w:rPr>
          <w:rFonts w:ascii="Times New Roman" w:hAnsi="Times New Roman" w:cs="Times New Roman"/>
        </w:rPr>
        <w:t xml:space="preserve"> quienes introdujeron el concepto de </w:t>
      </w:r>
      <w:r w:rsidR="00824E25" w:rsidRPr="577BF0F5">
        <w:rPr>
          <w:rFonts w:ascii="Times New Roman" w:hAnsi="Times New Roman" w:cs="Times New Roman"/>
          <w:i/>
          <w:iCs/>
        </w:rPr>
        <w:t>optimalidad del nivel de apalancamiento</w:t>
      </w:r>
      <w:r w:rsidR="00797088" w:rsidRPr="577BF0F5">
        <w:rPr>
          <w:rFonts w:ascii="Times New Roman" w:hAnsi="Times New Roman" w:cs="Times New Roman"/>
          <w:i/>
          <w:iCs/>
        </w:rPr>
        <w:t>;</w:t>
      </w:r>
      <w:r w:rsidRPr="577BF0F5">
        <w:rPr>
          <w:rFonts w:ascii="Times New Roman" w:hAnsi="Times New Roman" w:cs="Times New Roman"/>
        </w:rPr>
        <w:t xml:space="preserve"> </w:t>
      </w:r>
      <w:r w:rsidR="00797088" w:rsidRPr="577BF0F5">
        <w:rPr>
          <w:rFonts w:ascii="Times New Roman" w:hAnsi="Times New Roman" w:cs="Times New Roman"/>
        </w:rPr>
        <w:t>s</w:t>
      </w:r>
      <w:r w:rsidRPr="577BF0F5">
        <w:rPr>
          <w:rFonts w:ascii="Times New Roman" w:hAnsi="Times New Roman" w:cs="Times New Roman"/>
          <w:lang w:val="es-CO"/>
        </w:rPr>
        <w:t xml:space="preserve">in embargo, aunque se ha investigado ampliamente </w:t>
      </w:r>
      <w:r w:rsidR="002375C7">
        <w:rPr>
          <w:rFonts w:ascii="Times New Roman" w:hAnsi="Times New Roman" w:cs="Times New Roman"/>
          <w:lang w:val="es-CO"/>
        </w:rPr>
        <w:t>sobre la estructura financiera de las firmas</w:t>
      </w:r>
      <w:r w:rsidRPr="577BF0F5">
        <w:rPr>
          <w:rFonts w:ascii="Times New Roman" w:hAnsi="Times New Roman" w:cs="Times New Roman"/>
          <w:lang w:val="es-CO"/>
        </w:rPr>
        <w:t xml:space="preserve">, </w:t>
      </w:r>
      <w:r w:rsidR="002375C7">
        <w:rPr>
          <w:rFonts w:ascii="Times New Roman" w:hAnsi="Times New Roman" w:cs="Times New Roman"/>
          <w:lang w:val="es-CO"/>
        </w:rPr>
        <w:t xml:space="preserve">en </w:t>
      </w:r>
      <w:r w:rsidRPr="577BF0F5">
        <w:rPr>
          <w:rFonts w:ascii="Times New Roman" w:hAnsi="Times New Roman" w:cs="Times New Roman"/>
          <w:lang w:val="es-CO"/>
        </w:rPr>
        <w:t xml:space="preserve">la literatura no </w:t>
      </w:r>
      <w:r w:rsidR="002375C7">
        <w:rPr>
          <w:rFonts w:ascii="Times New Roman" w:hAnsi="Times New Roman" w:cs="Times New Roman"/>
          <w:lang w:val="es-CO"/>
        </w:rPr>
        <w:t>se ha llegado a una conclusión</w:t>
      </w:r>
      <w:r w:rsidRPr="577BF0F5">
        <w:rPr>
          <w:rFonts w:ascii="Times New Roman" w:hAnsi="Times New Roman" w:cs="Times New Roman"/>
          <w:lang w:val="es-CO"/>
        </w:rPr>
        <w:t xml:space="preserve"> sobre el nivel óptimo d</w:t>
      </w:r>
      <w:r w:rsidR="002375C7">
        <w:rPr>
          <w:rFonts w:ascii="Times New Roman" w:hAnsi="Times New Roman" w:cs="Times New Roman"/>
          <w:lang w:val="es-CO"/>
        </w:rPr>
        <w:t>e apalancamiento</w:t>
      </w:r>
      <w:r w:rsidRPr="577BF0F5">
        <w:rPr>
          <w:rFonts w:ascii="Times New Roman" w:hAnsi="Times New Roman" w:cs="Times New Roman"/>
          <w:lang w:val="es-CO"/>
        </w:rPr>
        <w:t>.</w:t>
      </w:r>
      <w:r w:rsidR="00005C32" w:rsidRPr="577BF0F5">
        <w:rPr>
          <w:rFonts w:ascii="Times New Roman" w:hAnsi="Times New Roman" w:cs="Times New Roman"/>
          <w:lang w:val="es-CO"/>
        </w:rPr>
        <w:t xml:space="preserve"> </w:t>
      </w:r>
      <w:r w:rsidR="00471515" w:rsidRPr="577BF0F5">
        <w:rPr>
          <w:rFonts w:ascii="Times New Roman" w:hAnsi="Times New Roman" w:cs="Times New Roman"/>
        </w:rPr>
        <w:t>Este</w:t>
      </w:r>
      <w:r w:rsidR="00005C32" w:rsidRPr="577BF0F5">
        <w:rPr>
          <w:rFonts w:ascii="Times New Roman" w:hAnsi="Times New Roman" w:cs="Times New Roman"/>
        </w:rPr>
        <w:t xml:space="preserve"> estudio </w:t>
      </w:r>
      <w:r w:rsidR="00471515" w:rsidRPr="577BF0F5">
        <w:rPr>
          <w:rFonts w:ascii="Times New Roman" w:hAnsi="Times New Roman" w:cs="Times New Roman"/>
        </w:rPr>
        <w:t>aborda</w:t>
      </w:r>
      <w:r w:rsidR="00005C32" w:rsidRPr="577BF0F5">
        <w:rPr>
          <w:rFonts w:ascii="Times New Roman" w:hAnsi="Times New Roman" w:cs="Times New Roman"/>
        </w:rPr>
        <w:t xml:space="preserve"> el nivel de apalancamiento</w:t>
      </w:r>
      <w:r w:rsidR="00797088" w:rsidRPr="577BF0F5">
        <w:rPr>
          <w:rFonts w:ascii="Times New Roman" w:hAnsi="Times New Roman" w:cs="Times New Roman"/>
        </w:rPr>
        <w:t>,</w:t>
      </w:r>
      <w:r w:rsidR="00005C32" w:rsidRPr="577BF0F5">
        <w:rPr>
          <w:rFonts w:ascii="Times New Roman" w:hAnsi="Times New Roman" w:cs="Times New Roman"/>
        </w:rPr>
        <w:t xml:space="preserve"> </w:t>
      </w:r>
      <w:r w:rsidR="00471515" w:rsidRPr="577BF0F5">
        <w:rPr>
          <w:rFonts w:ascii="Times New Roman" w:hAnsi="Times New Roman" w:cs="Times New Roman"/>
        </w:rPr>
        <w:t>medido</w:t>
      </w:r>
      <w:r w:rsidR="00005C32" w:rsidRPr="577BF0F5">
        <w:rPr>
          <w:rFonts w:ascii="Times New Roman" w:hAnsi="Times New Roman" w:cs="Times New Roman"/>
        </w:rPr>
        <w:t xml:space="preserve"> como la relación deuda</w:t>
      </w:r>
      <w:r w:rsidR="001B473B" w:rsidRPr="577BF0F5">
        <w:rPr>
          <w:rFonts w:ascii="Times New Roman" w:hAnsi="Times New Roman" w:cs="Times New Roman"/>
        </w:rPr>
        <w:t>/</w:t>
      </w:r>
      <w:r w:rsidR="00005C32" w:rsidRPr="577BF0F5">
        <w:rPr>
          <w:rFonts w:ascii="Times New Roman" w:hAnsi="Times New Roman" w:cs="Times New Roman"/>
        </w:rPr>
        <w:t xml:space="preserve">patrimonio </w:t>
      </w:r>
      <w:r w:rsidR="00797088" w:rsidRPr="577BF0F5">
        <w:rPr>
          <w:rFonts w:ascii="Times New Roman" w:hAnsi="Times New Roman" w:cs="Times New Roman"/>
        </w:rPr>
        <w:t>en</w:t>
      </w:r>
      <w:r w:rsidR="00005C32" w:rsidRPr="577BF0F5">
        <w:rPr>
          <w:rFonts w:ascii="Times New Roman" w:hAnsi="Times New Roman" w:cs="Times New Roman"/>
        </w:rPr>
        <w:t xml:space="preserve"> las empresas</w:t>
      </w:r>
      <w:r w:rsidR="00797088" w:rsidRPr="577BF0F5">
        <w:rPr>
          <w:rFonts w:ascii="Times New Roman" w:hAnsi="Times New Roman" w:cs="Times New Roman"/>
        </w:rPr>
        <w:t>, y, e</w:t>
      </w:r>
      <w:r w:rsidR="00471515" w:rsidRPr="577BF0F5">
        <w:rPr>
          <w:rFonts w:ascii="Times New Roman" w:hAnsi="Times New Roman" w:cs="Times New Roman"/>
        </w:rPr>
        <w:t>n particular,</w:t>
      </w:r>
      <w:r w:rsidR="0046100F">
        <w:rPr>
          <w:rFonts w:ascii="Times New Roman" w:hAnsi="Times New Roman" w:cs="Times New Roman"/>
        </w:rPr>
        <w:t xml:space="preserve"> se</w:t>
      </w:r>
      <w:r w:rsidR="00005C32" w:rsidRPr="577BF0F5">
        <w:rPr>
          <w:rFonts w:ascii="Times New Roman" w:hAnsi="Times New Roman" w:cs="Times New Roman"/>
        </w:rPr>
        <w:t xml:space="preserve"> hace distinción sobre </w:t>
      </w:r>
      <w:r w:rsidR="0033719F">
        <w:rPr>
          <w:rFonts w:ascii="Times New Roman" w:hAnsi="Times New Roman" w:cs="Times New Roman"/>
        </w:rPr>
        <w:t>la participación que tiene</w:t>
      </w:r>
      <w:r w:rsidR="0046100F">
        <w:rPr>
          <w:rFonts w:ascii="Times New Roman" w:hAnsi="Times New Roman" w:cs="Times New Roman"/>
        </w:rPr>
        <w:t xml:space="preserve"> </w:t>
      </w:r>
      <w:r w:rsidR="00005C32" w:rsidRPr="577BF0F5">
        <w:rPr>
          <w:rFonts w:ascii="Times New Roman" w:hAnsi="Times New Roman" w:cs="Times New Roman"/>
        </w:rPr>
        <w:t>el origen de</w:t>
      </w:r>
      <w:r w:rsidR="00471515" w:rsidRPr="577BF0F5">
        <w:rPr>
          <w:rFonts w:ascii="Times New Roman" w:hAnsi="Times New Roman" w:cs="Times New Roman"/>
        </w:rPr>
        <w:t xml:space="preserve"> los fondos</w:t>
      </w:r>
      <w:r w:rsidR="00797088" w:rsidRPr="577BF0F5">
        <w:rPr>
          <w:rFonts w:ascii="Times New Roman" w:hAnsi="Times New Roman" w:cs="Times New Roman"/>
        </w:rPr>
        <w:t>,</w:t>
      </w:r>
      <w:r w:rsidR="00005C32" w:rsidRPr="577BF0F5">
        <w:rPr>
          <w:rFonts w:ascii="Times New Roman" w:hAnsi="Times New Roman" w:cs="Times New Roman"/>
        </w:rPr>
        <w:t xml:space="preserve"> es decir, si </w:t>
      </w:r>
      <w:r w:rsidR="00471515" w:rsidRPr="577BF0F5">
        <w:rPr>
          <w:rFonts w:ascii="Times New Roman" w:hAnsi="Times New Roman" w:cs="Times New Roman"/>
        </w:rPr>
        <w:t>son</w:t>
      </w:r>
      <w:r w:rsidR="00005C32" w:rsidRPr="577BF0F5">
        <w:rPr>
          <w:rFonts w:ascii="Times New Roman" w:hAnsi="Times New Roman" w:cs="Times New Roman"/>
        </w:rPr>
        <w:t xml:space="preserve"> externo</w:t>
      </w:r>
      <w:r w:rsidR="00471515" w:rsidRPr="577BF0F5">
        <w:rPr>
          <w:rFonts w:ascii="Times New Roman" w:hAnsi="Times New Roman" w:cs="Times New Roman"/>
        </w:rPr>
        <w:t>s (bancos, bonos</w:t>
      </w:r>
      <w:r w:rsidR="00005C32" w:rsidRPr="577BF0F5">
        <w:rPr>
          <w:rFonts w:ascii="Times New Roman" w:hAnsi="Times New Roman" w:cs="Times New Roman"/>
        </w:rPr>
        <w:t>) o interno</w:t>
      </w:r>
      <w:r w:rsidR="00471515" w:rsidRPr="577BF0F5">
        <w:rPr>
          <w:rFonts w:ascii="Times New Roman" w:hAnsi="Times New Roman" w:cs="Times New Roman"/>
        </w:rPr>
        <w:t>s</w:t>
      </w:r>
      <w:r w:rsidR="00005C32" w:rsidRPr="577BF0F5">
        <w:rPr>
          <w:rFonts w:ascii="Times New Roman" w:hAnsi="Times New Roman" w:cs="Times New Roman"/>
        </w:rPr>
        <w:t xml:space="preserve"> (utilidades r</w:t>
      </w:r>
      <w:r w:rsidR="00471515" w:rsidRPr="577BF0F5">
        <w:rPr>
          <w:rFonts w:ascii="Times New Roman" w:hAnsi="Times New Roman" w:cs="Times New Roman"/>
        </w:rPr>
        <w:t>etenidas, emisiones</w:t>
      </w:r>
      <w:r w:rsidR="00005C32" w:rsidRPr="577BF0F5">
        <w:rPr>
          <w:rFonts w:ascii="Times New Roman" w:hAnsi="Times New Roman" w:cs="Times New Roman"/>
        </w:rPr>
        <w:t xml:space="preserve">). </w:t>
      </w:r>
    </w:p>
    <w:p w14:paraId="5AB19101" w14:textId="77777777" w:rsidR="0046100F" w:rsidRDefault="0046100F" w:rsidP="0014174E">
      <w:pPr>
        <w:pStyle w:val="Textoindependiente"/>
        <w:ind w:firstLine="708"/>
        <w:rPr>
          <w:rFonts w:ascii="Times New Roman" w:hAnsi="Times New Roman" w:cs="Times New Roman"/>
        </w:rPr>
      </w:pPr>
    </w:p>
    <w:p w14:paraId="3B475DF7" w14:textId="7A46B377" w:rsidR="00F95C56" w:rsidRDefault="006A4237" w:rsidP="0014174E">
      <w:pPr>
        <w:pStyle w:val="Textoindependiente"/>
        <w:ind w:firstLine="708"/>
        <w:rPr>
          <w:rFonts w:ascii="Times New Roman" w:hAnsi="Times New Roman" w:cs="Times New Roman"/>
        </w:rPr>
      </w:pPr>
      <w:r w:rsidRPr="577BF0F5">
        <w:rPr>
          <w:rFonts w:ascii="Times New Roman" w:hAnsi="Times New Roman" w:cs="Times New Roman"/>
        </w:rPr>
        <w:t>S</w:t>
      </w:r>
      <w:r w:rsidR="00AB3358" w:rsidRPr="577BF0F5">
        <w:rPr>
          <w:rFonts w:ascii="Times New Roman" w:hAnsi="Times New Roman" w:cs="Times New Roman"/>
        </w:rPr>
        <w:t xml:space="preserve">e </w:t>
      </w:r>
      <w:r w:rsidR="00026E7F" w:rsidRPr="577BF0F5">
        <w:rPr>
          <w:rFonts w:ascii="Times New Roman" w:hAnsi="Times New Roman" w:cs="Times New Roman"/>
        </w:rPr>
        <w:t xml:space="preserve">seleccionaron </w:t>
      </w:r>
      <w:r w:rsidR="00AB3358" w:rsidRPr="577BF0F5">
        <w:rPr>
          <w:rFonts w:ascii="Times New Roman" w:hAnsi="Times New Roman" w:cs="Times New Roman"/>
        </w:rPr>
        <w:t>empresas colombianas y argentinas para evidenciar de maner</w:t>
      </w:r>
      <w:r w:rsidR="00D8400C" w:rsidRPr="577BF0F5">
        <w:rPr>
          <w:rFonts w:ascii="Times New Roman" w:hAnsi="Times New Roman" w:cs="Times New Roman"/>
        </w:rPr>
        <w:t>a más</w:t>
      </w:r>
      <w:r w:rsidR="00005C32" w:rsidRPr="577BF0F5">
        <w:rPr>
          <w:rFonts w:ascii="Times New Roman" w:hAnsi="Times New Roman" w:cs="Times New Roman"/>
        </w:rPr>
        <w:t xml:space="preserve"> explícita el efecto del surgimiento de </w:t>
      </w:r>
      <w:r w:rsidR="00D8400C" w:rsidRPr="577BF0F5">
        <w:rPr>
          <w:rFonts w:ascii="Times New Roman" w:hAnsi="Times New Roman" w:cs="Times New Roman"/>
        </w:rPr>
        <w:t xml:space="preserve">escenarios de </w:t>
      </w:r>
      <w:r w:rsidR="0033719F">
        <w:rPr>
          <w:rFonts w:ascii="Times New Roman" w:hAnsi="Times New Roman" w:cs="Times New Roman"/>
        </w:rPr>
        <w:t>inestabilidad</w:t>
      </w:r>
      <w:r w:rsidR="00D8400C" w:rsidRPr="577BF0F5">
        <w:rPr>
          <w:rFonts w:ascii="Times New Roman" w:hAnsi="Times New Roman" w:cs="Times New Roman"/>
        </w:rPr>
        <w:t xml:space="preserve"> financiera </w:t>
      </w:r>
      <w:r w:rsidR="00026E7F" w:rsidRPr="577BF0F5">
        <w:rPr>
          <w:rFonts w:ascii="Times New Roman" w:hAnsi="Times New Roman" w:cs="Times New Roman"/>
        </w:rPr>
        <w:t>en dos economías emergentes de similar tamaño</w:t>
      </w:r>
      <w:r w:rsidR="00F35DE6">
        <w:rPr>
          <w:rFonts w:ascii="Times New Roman" w:hAnsi="Times New Roman" w:cs="Times New Roman"/>
        </w:rPr>
        <w:t xml:space="preserve"> en términos de PIB, </w:t>
      </w:r>
      <w:r w:rsidR="00F35DE6" w:rsidRPr="007D62E0">
        <w:rPr>
          <w:rFonts w:ascii="Times New Roman" w:hAnsi="Times New Roman" w:cs="Times New Roman"/>
        </w:rPr>
        <w:t>aunque con diferencias claras en desarrollo del mercado financiero</w:t>
      </w:r>
      <w:r w:rsidR="00AB3358" w:rsidRPr="577BF0F5">
        <w:rPr>
          <w:rFonts w:ascii="Times New Roman" w:hAnsi="Times New Roman" w:cs="Times New Roman"/>
        </w:rPr>
        <w:t xml:space="preserve">. En los últimos </w:t>
      </w:r>
      <w:r w:rsidR="00797088" w:rsidRPr="577BF0F5">
        <w:rPr>
          <w:rFonts w:ascii="Times New Roman" w:hAnsi="Times New Roman" w:cs="Times New Roman"/>
        </w:rPr>
        <w:t>d</w:t>
      </w:r>
      <w:r w:rsidR="00D5360E" w:rsidRPr="577BF0F5">
        <w:rPr>
          <w:rFonts w:ascii="Times New Roman" w:hAnsi="Times New Roman" w:cs="Times New Roman"/>
        </w:rPr>
        <w:t>ie</w:t>
      </w:r>
      <w:r w:rsidR="00797088" w:rsidRPr="577BF0F5">
        <w:rPr>
          <w:rFonts w:ascii="Times New Roman" w:hAnsi="Times New Roman" w:cs="Times New Roman"/>
        </w:rPr>
        <w:t>z</w:t>
      </w:r>
      <w:r w:rsidR="00AB3358" w:rsidRPr="577BF0F5">
        <w:rPr>
          <w:rFonts w:ascii="Times New Roman" w:hAnsi="Times New Roman" w:cs="Times New Roman"/>
        </w:rPr>
        <w:t xml:space="preserve"> años</w:t>
      </w:r>
      <w:r w:rsidRPr="577BF0F5">
        <w:rPr>
          <w:rFonts w:ascii="Times New Roman" w:hAnsi="Times New Roman" w:cs="Times New Roman"/>
        </w:rPr>
        <w:t>,</w:t>
      </w:r>
      <w:r w:rsidR="00AB3358" w:rsidRPr="577BF0F5">
        <w:rPr>
          <w:rFonts w:ascii="Times New Roman" w:hAnsi="Times New Roman" w:cs="Times New Roman"/>
        </w:rPr>
        <w:t xml:space="preserve"> Argentina ha tenido </w:t>
      </w:r>
      <w:r w:rsidR="00D8400C" w:rsidRPr="577BF0F5">
        <w:rPr>
          <w:rFonts w:ascii="Times New Roman" w:hAnsi="Times New Roman" w:cs="Times New Roman"/>
        </w:rPr>
        <w:t>variaciones drástica</w:t>
      </w:r>
      <w:r w:rsidR="00301ADC" w:rsidRPr="577BF0F5">
        <w:rPr>
          <w:rFonts w:ascii="Times New Roman" w:hAnsi="Times New Roman" w:cs="Times New Roman"/>
        </w:rPr>
        <w:t xml:space="preserve">s </w:t>
      </w:r>
      <w:r w:rsidR="00D8400C" w:rsidRPr="577BF0F5">
        <w:rPr>
          <w:rFonts w:ascii="Times New Roman" w:hAnsi="Times New Roman" w:cs="Times New Roman"/>
        </w:rPr>
        <w:t xml:space="preserve">en el crecimiento de </w:t>
      </w:r>
      <w:r w:rsidR="00301ADC" w:rsidRPr="577BF0F5">
        <w:rPr>
          <w:rFonts w:ascii="Times New Roman" w:hAnsi="Times New Roman" w:cs="Times New Roman"/>
        </w:rPr>
        <w:t xml:space="preserve">su economía, mientras que Colombia ha tenido períodos de crecimiento económico </w:t>
      </w:r>
      <w:r w:rsidR="00D8400C" w:rsidRPr="577BF0F5">
        <w:rPr>
          <w:rFonts w:ascii="Times New Roman" w:hAnsi="Times New Roman" w:cs="Times New Roman"/>
        </w:rPr>
        <w:t xml:space="preserve">relativamente </w:t>
      </w:r>
      <w:r w:rsidR="00301ADC" w:rsidRPr="577BF0F5">
        <w:rPr>
          <w:rFonts w:ascii="Times New Roman" w:hAnsi="Times New Roman" w:cs="Times New Roman"/>
        </w:rPr>
        <w:t>estable</w:t>
      </w:r>
      <w:r w:rsidR="00797088" w:rsidRPr="577BF0F5">
        <w:rPr>
          <w:rFonts w:ascii="Times New Roman" w:hAnsi="Times New Roman" w:cs="Times New Roman"/>
        </w:rPr>
        <w:t>; p</w:t>
      </w:r>
      <w:r w:rsidR="00301ADC" w:rsidRPr="577BF0F5">
        <w:rPr>
          <w:rFonts w:ascii="Times New Roman" w:hAnsi="Times New Roman" w:cs="Times New Roman"/>
        </w:rPr>
        <w:t xml:space="preserve">or ende, </w:t>
      </w:r>
      <w:r w:rsidR="00465929" w:rsidRPr="577BF0F5">
        <w:rPr>
          <w:rFonts w:ascii="Times New Roman" w:hAnsi="Times New Roman" w:cs="Times New Roman"/>
        </w:rPr>
        <w:t xml:space="preserve">debería </w:t>
      </w:r>
      <w:r w:rsidR="00C72C4E" w:rsidRPr="577BF0F5">
        <w:rPr>
          <w:rFonts w:ascii="Times New Roman" w:hAnsi="Times New Roman" w:cs="Times New Roman"/>
        </w:rPr>
        <w:t>ser posible</w:t>
      </w:r>
      <w:r w:rsidR="00097B8E" w:rsidRPr="577BF0F5">
        <w:rPr>
          <w:rFonts w:ascii="Times New Roman" w:hAnsi="Times New Roman" w:cs="Times New Roman"/>
        </w:rPr>
        <w:t xml:space="preserve"> evidenciar esta</w:t>
      </w:r>
      <w:r w:rsidR="00465929" w:rsidRPr="577BF0F5">
        <w:rPr>
          <w:rFonts w:ascii="Times New Roman" w:hAnsi="Times New Roman" w:cs="Times New Roman"/>
        </w:rPr>
        <w:t>s</w:t>
      </w:r>
      <w:r w:rsidR="00097B8E" w:rsidRPr="577BF0F5">
        <w:rPr>
          <w:rFonts w:ascii="Times New Roman" w:hAnsi="Times New Roman" w:cs="Times New Roman"/>
        </w:rPr>
        <w:t xml:space="preserve"> variaciones </w:t>
      </w:r>
      <w:r w:rsidR="00041FB9">
        <w:rPr>
          <w:rFonts w:ascii="Times New Roman" w:hAnsi="Times New Roman" w:cs="Times New Roman"/>
        </w:rPr>
        <w:t xml:space="preserve">en el </w:t>
      </w:r>
      <w:r w:rsidR="00097B8E" w:rsidRPr="577BF0F5">
        <w:rPr>
          <w:rFonts w:ascii="Times New Roman" w:hAnsi="Times New Roman" w:cs="Times New Roman"/>
        </w:rPr>
        <w:t xml:space="preserve">apalancamiento </w:t>
      </w:r>
      <w:r w:rsidR="00C72C4E" w:rsidRPr="577BF0F5">
        <w:rPr>
          <w:rFonts w:ascii="Times New Roman" w:hAnsi="Times New Roman" w:cs="Times New Roman"/>
        </w:rPr>
        <w:t>de las empresas</w:t>
      </w:r>
      <w:r w:rsidR="00026E7F" w:rsidRPr="577BF0F5">
        <w:rPr>
          <w:rFonts w:ascii="Times New Roman" w:hAnsi="Times New Roman" w:cs="Times New Roman"/>
        </w:rPr>
        <w:t>, en particular en años como</w:t>
      </w:r>
      <w:r w:rsidR="00097B8E" w:rsidRPr="577BF0F5">
        <w:rPr>
          <w:rFonts w:ascii="Times New Roman" w:hAnsi="Times New Roman" w:cs="Times New Roman"/>
        </w:rPr>
        <w:t xml:space="preserve"> 2015, </w:t>
      </w:r>
      <w:r w:rsidR="00603894" w:rsidRPr="577BF0F5">
        <w:rPr>
          <w:rFonts w:ascii="Times New Roman" w:hAnsi="Times New Roman" w:cs="Times New Roman"/>
        </w:rPr>
        <w:t xml:space="preserve">en cuyo </w:t>
      </w:r>
      <w:r w:rsidR="00097B8E" w:rsidRPr="577BF0F5">
        <w:rPr>
          <w:rFonts w:ascii="Times New Roman" w:hAnsi="Times New Roman" w:cs="Times New Roman"/>
        </w:rPr>
        <w:t>primer semestre la economía argentina creció 0,5</w:t>
      </w:r>
      <w:r w:rsidR="00603894" w:rsidRPr="577BF0F5">
        <w:rPr>
          <w:rFonts w:ascii="Times New Roman" w:hAnsi="Times New Roman" w:cs="Times New Roman"/>
        </w:rPr>
        <w:t xml:space="preserve"> </w:t>
      </w:r>
      <w:r w:rsidR="00097B8E" w:rsidRPr="577BF0F5">
        <w:rPr>
          <w:rFonts w:ascii="Times New Roman" w:hAnsi="Times New Roman" w:cs="Times New Roman"/>
        </w:rPr>
        <w:t>%</w:t>
      </w:r>
      <w:r w:rsidR="00026E7F" w:rsidRPr="577BF0F5">
        <w:rPr>
          <w:rFonts w:ascii="Times New Roman" w:hAnsi="Times New Roman" w:cs="Times New Roman"/>
        </w:rPr>
        <w:t>,</w:t>
      </w:r>
      <w:r w:rsidR="00097B8E" w:rsidRPr="577BF0F5">
        <w:rPr>
          <w:rFonts w:ascii="Times New Roman" w:hAnsi="Times New Roman" w:cs="Times New Roman"/>
        </w:rPr>
        <w:t xml:space="preserve"> mientras que la </w:t>
      </w:r>
      <w:r w:rsidR="00026E7F" w:rsidRPr="577BF0F5">
        <w:rPr>
          <w:rFonts w:ascii="Times New Roman" w:hAnsi="Times New Roman" w:cs="Times New Roman"/>
        </w:rPr>
        <w:t>colombiana creció 2,8%</w:t>
      </w:r>
      <w:r w:rsidR="00465929" w:rsidRPr="577BF0F5">
        <w:rPr>
          <w:rFonts w:ascii="Times New Roman" w:hAnsi="Times New Roman" w:cs="Times New Roman"/>
        </w:rPr>
        <w:t xml:space="preserve"> </w:t>
      </w:r>
      <w:sdt>
        <w:sdtPr>
          <w:rPr>
            <w:rFonts w:ascii="Times New Roman" w:hAnsi="Times New Roman" w:cs="Times New Roman"/>
          </w:rPr>
          <w:id w:val="1276912218"/>
          <w:citation/>
        </w:sdtPr>
        <w:sdtEndPr/>
        <w:sdtContent>
          <w:r w:rsidR="00824E25">
            <w:rPr>
              <w:rFonts w:ascii="Times New Roman" w:hAnsi="Times New Roman" w:cs="Times New Roman"/>
            </w:rPr>
            <w:fldChar w:fldCharType="begin"/>
          </w:r>
          <w:r w:rsidR="00F05D03">
            <w:rPr>
              <w:rFonts w:ascii="Times New Roman" w:hAnsi="Times New Roman" w:cs="Times New Roman"/>
              <w:lang w:val="es-CO"/>
            </w:rPr>
            <w:instrText xml:space="preserve"> CITATION Rev15 \l 9226 </w:instrText>
          </w:r>
          <w:r w:rsidR="00824E25">
            <w:rPr>
              <w:rFonts w:ascii="Times New Roman" w:hAnsi="Times New Roman" w:cs="Times New Roman"/>
            </w:rPr>
            <w:fldChar w:fldCharType="separate"/>
          </w:r>
          <w:r w:rsidR="000A438B" w:rsidRPr="000A438B">
            <w:rPr>
              <w:rFonts w:ascii="Times New Roman" w:hAnsi="Times New Roman" w:cs="Times New Roman"/>
              <w:noProof/>
              <w:lang w:val="es-CO"/>
            </w:rPr>
            <w:t>(Revista Dinero, 2015)</w:t>
          </w:r>
          <w:r w:rsidR="00824E25">
            <w:rPr>
              <w:rFonts w:ascii="Times New Roman" w:hAnsi="Times New Roman" w:cs="Times New Roman"/>
            </w:rPr>
            <w:fldChar w:fldCharType="end"/>
          </w:r>
        </w:sdtContent>
      </w:sdt>
      <w:r w:rsidR="00005C32" w:rsidRPr="577BF0F5">
        <w:rPr>
          <w:rFonts w:ascii="Times New Roman" w:hAnsi="Times New Roman" w:cs="Times New Roman"/>
        </w:rPr>
        <w:t xml:space="preserve">. </w:t>
      </w:r>
    </w:p>
    <w:p w14:paraId="7389BC3A" w14:textId="77777777" w:rsidR="0014174E" w:rsidRDefault="0014174E" w:rsidP="0014174E">
      <w:pPr>
        <w:pStyle w:val="Textoindependiente"/>
        <w:ind w:firstLine="708"/>
        <w:rPr>
          <w:rFonts w:ascii="Times New Roman" w:hAnsi="Times New Roman" w:cs="Times New Roman"/>
        </w:rPr>
      </w:pPr>
    </w:p>
    <w:p w14:paraId="010C9D39" w14:textId="24173613" w:rsidR="00F95C56" w:rsidRDefault="0033719F" w:rsidP="0014174E">
      <w:pPr>
        <w:pStyle w:val="Textoindependiente"/>
        <w:ind w:firstLine="708"/>
        <w:rPr>
          <w:rFonts w:ascii="Times New Roman" w:hAnsi="Times New Roman" w:cs="Times New Roman"/>
        </w:rPr>
      </w:pPr>
      <w:r>
        <w:rPr>
          <w:rFonts w:ascii="Times New Roman" w:hAnsi="Times New Roman" w:cs="Times New Roman"/>
        </w:rPr>
        <w:t>Si la evidencia muestra que los problemas de liquidez y las pérdidas</w:t>
      </w:r>
      <w:r w:rsidR="00026E7F" w:rsidRPr="577BF0F5">
        <w:rPr>
          <w:rFonts w:ascii="Times New Roman" w:hAnsi="Times New Roman" w:cs="Times New Roman"/>
        </w:rPr>
        <w:t xml:space="preserve"> </w:t>
      </w:r>
      <w:r>
        <w:rPr>
          <w:rFonts w:ascii="Times New Roman" w:hAnsi="Times New Roman" w:cs="Times New Roman"/>
        </w:rPr>
        <w:t>aumenta</w:t>
      </w:r>
      <w:r w:rsidR="001D2FE9" w:rsidRPr="577BF0F5">
        <w:rPr>
          <w:rFonts w:ascii="Times New Roman" w:hAnsi="Times New Roman" w:cs="Times New Roman"/>
        </w:rPr>
        <w:t xml:space="preserve"> </w:t>
      </w:r>
      <w:r w:rsidR="00026E7F" w:rsidRPr="577BF0F5">
        <w:rPr>
          <w:rFonts w:ascii="Times New Roman" w:hAnsi="Times New Roman" w:cs="Times New Roman"/>
        </w:rPr>
        <w:t>e</w:t>
      </w:r>
      <w:r w:rsidR="00301ADC" w:rsidRPr="577BF0F5">
        <w:rPr>
          <w:rFonts w:ascii="Times New Roman" w:hAnsi="Times New Roman" w:cs="Times New Roman"/>
        </w:rPr>
        <w:t>l</w:t>
      </w:r>
      <w:r w:rsidR="00026E7F" w:rsidRPr="577BF0F5">
        <w:rPr>
          <w:rFonts w:ascii="Times New Roman" w:hAnsi="Times New Roman" w:cs="Times New Roman"/>
        </w:rPr>
        <w:t xml:space="preserve"> nivel de</w:t>
      </w:r>
      <w:r w:rsidR="00301ADC" w:rsidRPr="577BF0F5">
        <w:rPr>
          <w:rFonts w:ascii="Times New Roman" w:hAnsi="Times New Roman" w:cs="Times New Roman"/>
        </w:rPr>
        <w:t xml:space="preserve"> apalancamiento</w:t>
      </w:r>
      <w:r w:rsidR="00026E7F" w:rsidRPr="577BF0F5">
        <w:rPr>
          <w:rFonts w:ascii="Times New Roman" w:hAnsi="Times New Roman" w:cs="Times New Roman"/>
        </w:rPr>
        <w:t>,</w:t>
      </w:r>
      <w:r w:rsidR="002E121D" w:rsidRPr="577BF0F5">
        <w:rPr>
          <w:rFonts w:ascii="Times New Roman" w:hAnsi="Times New Roman" w:cs="Times New Roman"/>
        </w:rPr>
        <w:t xml:space="preserve"> </w:t>
      </w:r>
      <w:r w:rsidR="00B05485" w:rsidRPr="577BF0F5">
        <w:rPr>
          <w:rFonts w:ascii="Times New Roman" w:hAnsi="Times New Roman" w:cs="Times New Roman"/>
        </w:rPr>
        <w:t>implicaría</w:t>
      </w:r>
      <w:r w:rsidR="00EF4A34" w:rsidRPr="577BF0F5">
        <w:rPr>
          <w:rFonts w:ascii="Times New Roman" w:hAnsi="Times New Roman" w:cs="Times New Roman"/>
        </w:rPr>
        <w:t xml:space="preserve"> que</w:t>
      </w:r>
      <w:r w:rsidR="00783CB7" w:rsidRPr="577BF0F5">
        <w:rPr>
          <w:rFonts w:ascii="Times New Roman" w:hAnsi="Times New Roman" w:cs="Times New Roman"/>
        </w:rPr>
        <w:t xml:space="preserve"> </w:t>
      </w:r>
      <w:r w:rsidR="00B05485" w:rsidRPr="577BF0F5">
        <w:rPr>
          <w:rFonts w:ascii="Times New Roman" w:hAnsi="Times New Roman" w:cs="Times New Roman"/>
        </w:rPr>
        <w:t>un</w:t>
      </w:r>
      <w:r w:rsidR="00EF4A34" w:rsidRPr="577BF0F5">
        <w:rPr>
          <w:rFonts w:ascii="Times New Roman" w:hAnsi="Times New Roman" w:cs="Times New Roman"/>
        </w:rPr>
        <w:t xml:space="preserve"> aspecto </w:t>
      </w:r>
      <w:r w:rsidR="00301ADC" w:rsidRPr="577BF0F5">
        <w:rPr>
          <w:rFonts w:ascii="Times New Roman" w:hAnsi="Times New Roman" w:cs="Times New Roman"/>
        </w:rPr>
        <w:t>preocupa</w:t>
      </w:r>
      <w:r w:rsidR="00B05485" w:rsidRPr="577BF0F5">
        <w:rPr>
          <w:rFonts w:ascii="Times New Roman" w:hAnsi="Times New Roman" w:cs="Times New Roman"/>
        </w:rPr>
        <w:t>nte</w:t>
      </w:r>
      <w:r w:rsidR="00301ADC" w:rsidRPr="577BF0F5">
        <w:rPr>
          <w:rFonts w:ascii="Times New Roman" w:hAnsi="Times New Roman" w:cs="Times New Roman"/>
        </w:rPr>
        <w:t xml:space="preserve"> </w:t>
      </w:r>
      <w:r w:rsidR="00603894" w:rsidRPr="577BF0F5">
        <w:rPr>
          <w:rFonts w:ascii="Times New Roman" w:hAnsi="Times New Roman" w:cs="Times New Roman"/>
        </w:rPr>
        <w:t xml:space="preserve">para las empresas </w:t>
      </w:r>
      <w:r w:rsidR="00301ADC" w:rsidRPr="577BF0F5">
        <w:rPr>
          <w:rFonts w:ascii="Times New Roman" w:hAnsi="Times New Roman" w:cs="Times New Roman"/>
        </w:rPr>
        <w:t>sería</w:t>
      </w:r>
      <w:r w:rsidR="00AF5BDF" w:rsidRPr="577BF0F5">
        <w:rPr>
          <w:rFonts w:ascii="Times New Roman" w:hAnsi="Times New Roman" w:cs="Times New Roman"/>
        </w:rPr>
        <w:t xml:space="preserve"> </w:t>
      </w:r>
      <w:r w:rsidR="00B05485" w:rsidRPr="577BF0F5">
        <w:rPr>
          <w:rFonts w:ascii="Times New Roman" w:hAnsi="Times New Roman" w:cs="Times New Roman"/>
        </w:rPr>
        <w:t xml:space="preserve">el de </w:t>
      </w:r>
      <w:r w:rsidR="00AF5BDF" w:rsidRPr="577BF0F5">
        <w:rPr>
          <w:rFonts w:ascii="Times New Roman" w:hAnsi="Times New Roman" w:cs="Times New Roman"/>
        </w:rPr>
        <w:t>sus deudas</w:t>
      </w:r>
      <w:r w:rsidR="00603894" w:rsidRPr="577BF0F5">
        <w:rPr>
          <w:rFonts w:ascii="Times New Roman" w:hAnsi="Times New Roman" w:cs="Times New Roman"/>
        </w:rPr>
        <w:t>,</w:t>
      </w:r>
      <w:r w:rsidR="00D83C8B" w:rsidRPr="577BF0F5">
        <w:rPr>
          <w:rFonts w:ascii="Times New Roman" w:hAnsi="Times New Roman" w:cs="Times New Roman"/>
        </w:rPr>
        <w:t xml:space="preserve"> lo cual </w:t>
      </w:r>
      <w:r w:rsidR="004975F5">
        <w:rPr>
          <w:rFonts w:ascii="Times New Roman" w:hAnsi="Times New Roman" w:cs="Times New Roman"/>
        </w:rPr>
        <w:t xml:space="preserve">es consistente con </w:t>
      </w:r>
      <w:r w:rsidR="00D83C8B" w:rsidRPr="577BF0F5">
        <w:rPr>
          <w:rFonts w:ascii="Times New Roman" w:hAnsi="Times New Roman" w:cs="Times New Roman"/>
        </w:rPr>
        <w:t xml:space="preserve">la teoría del </w:t>
      </w:r>
      <w:r w:rsidR="00D83C8B" w:rsidRPr="577BF0F5">
        <w:rPr>
          <w:rFonts w:ascii="Times New Roman" w:hAnsi="Times New Roman" w:cs="Times New Roman"/>
          <w:i/>
          <w:iCs/>
        </w:rPr>
        <w:t xml:space="preserve">Pecking </w:t>
      </w:r>
      <w:r w:rsidR="00B05485" w:rsidRPr="577BF0F5">
        <w:rPr>
          <w:rFonts w:ascii="Times New Roman" w:hAnsi="Times New Roman" w:cs="Times New Roman"/>
          <w:i/>
          <w:iCs/>
        </w:rPr>
        <w:t>Order</w:t>
      </w:r>
      <w:r w:rsidR="00B05485" w:rsidRPr="577BF0F5">
        <w:rPr>
          <w:rFonts w:ascii="Times New Roman" w:hAnsi="Times New Roman" w:cs="Times New Roman"/>
        </w:rPr>
        <w:t xml:space="preserve"> </w:t>
      </w:r>
      <w:r w:rsidR="00F86C75" w:rsidRPr="577BF0F5">
        <w:rPr>
          <w:rFonts w:ascii="Times New Roman" w:hAnsi="Times New Roman" w:cs="Times New Roman"/>
        </w:rPr>
        <w:t>(teoría del orden de selección)</w:t>
      </w:r>
      <w:r w:rsidR="00603894" w:rsidRPr="577BF0F5">
        <w:rPr>
          <w:rFonts w:ascii="Times New Roman" w:hAnsi="Times New Roman" w:cs="Times New Roman"/>
        </w:rPr>
        <w:t>,</w:t>
      </w:r>
      <w:r w:rsidR="00F86C75" w:rsidRPr="577BF0F5">
        <w:rPr>
          <w:rFonts w:ascii="Times New Roman" w:hAnsi="Times New Roman" w:cs="Times New Roman"/>
        </w:rPr>
        <w:t xml:space="preserve"> </w:t>
      </w:r>
      <w:r w:rsidR="00D12CC3" w:rsidRPr="577BF0F5">
        <w:rPr>
          <w:rFonts w:ascii="Times New Roman" w:hAnsi="Times New Roman" w:cs="Times New Roman"/>
        </w:rPr>
        <w:t xml:space="preserve">de Myers y Majluf </w:t>
      </w:r>
      <w:sdt>
        <w:sdtPr>
          <w:rPr>
            <w:rFonts w:ascii="Times New Roman" w:hAnsi="Times New Roman" w:cs="Times New Roman"/>
          </w:rPr>
          <w:id w:val="-339548601"/>
          <w:citation/>
        </w:sdtPr>
        <w:sdtEndPr/>
        <w:sdtContent>
          <w:r w:rsidR="00824E25">
            <w:rPr>
              <w:rFonts w:ascii="Times New Roman" w:hAnsi="Times New Roman" w:cs="Times New Roman"/>
            </w:rPr>
            <w:fldChar w:fldCharType="begin"/>
          </w:r>
          <w:r w:rsidR="00B05485">
            <w:rPr>
              <w:rFonts w:ascii="Times New Roman" w:hAnsi="Times New Roman" w:cs="Times New Roman"/>
              <w:lang w:val="es-CO"/>
            </w:rPr>
            <w:instrText xml:space="preserve">CITATION Mye841 \n  \t  \l 9226 </w:instrText>
          </w:r>
          <w:r w:rsidR="00824E25">
            <w:rPr>
              <w:rFonts w:ascii="Times New Roman" w:hAnsi="Times New Roman" w:cs="Times New Roman"/>
            </w:rPr>
            <w:fldChar w:fldCharType="separate"/>
          </w:r>
          <w:r w:rsidR="000A438B" w:rsidRPr="000A438B">
            <w:rPr>
              <w:rFonts w:ascii="Times New Roman" w:hAnsi="Times New Roman" w:cs="Times New Roman"/>
              <w:noProof/>
              <w:lang w:val="es-CO"/>
            </w:rPr>
            <w:t>(1984)</w:t>
          </w:r>
          <w:r w:rsidR="00824E25">
            <w:rPr>
              <w:rFonts w:ascii="Times New Roman" w:hAnsi="Times New Roman" w:cs="Times New Roman"/>
            </w:rPr>
            <w:fldChar w:fldCharType="end"/>
          </w:r>
        </w:sdtContent>
      </w:sdt>
      <w:r w:rsidR="00D12CC3" w:rsidRPr="577BF0F5">
        <w:rPr>
          <w:rFonts w:ascii="Times New Roman" w:hAnsi="Times New Roman" w:cs="Times New Roman"/>
        </w:rPr>
        <w:t>. Esta teoría</w:t>
      </w:r>
      <w:r w:rsidR="00D83C8B" w:rsidRPr="577BF0F5">
        <w:rPr>
          <w:rFonts w:ascii="Times New Roman" w:hAnsi="Times New Roman" w:cs="Times New Roman"/>
        </w:rPr>
        <w:t xml:space="preserve"> explica </w:t>
      </w:r>
      <w:r w:rsidR="004975F5">
        <w:rPr>
          <w:rFonts w:ascii="Times New Roman" w:hAnsi="Times New Roman" w:cs="Times New Roman"/>
        </w:rPr>
        <w:t xml:space="preserve">la preferencia de </w:t>
      </w:r>
      <w:r w:rsidR="00D83C8B" w:rsidRPr="577BF0F5">
        <w:rPr>
          <w:rFonts w:ascii="Times New Roman" w:hAnsi="Times New Roman" w:cs="Times New Roman"/>
        </w:rPr>
        <w:t xml:space="preserve">las empresas </w:t>
      </w:r>
      <w:r w:rsidR="004975F5">
        <w:rPr>
          <w:rFonts w:ascii="Times New Roman" w:hAnsi="Times New Roman" w:cs="Times New Roman"/>
        </w:rPr>
        <w:t xml:space="preserve">en materia de financiamiento, considerando a los </w:t>
      </w:r>
      <w:r w:rsidR="004E6A1D" w:rsidRPr="577BF0F5">
        <w:rPr>
          <w:rFonts w:ascii="Times New Roman" w:hAnsi="Times New Roman" w:cs="Times New Roman"/>
        </w:rPr>
        <w:t>fondos</w:t>
      </w:r>
      <w:r w:rsidR="00D83C8B" w:rsidRPr="577BF0F5">
        <w:rPr>
          <w:rFonts w:ascii="Times New Roman" w:hAnsi="Times New Roman" w:cs="Times New Roman"/>
        </w:rPr>
        <w:t xml:space="preserve"> internos</w:t>
      </w:r>
      <w:r w:rsidR="004975F5">
        <w:rPr>
          <w:rFonts w:ascii="Times New Roman" w:hAnsi="Times New Roman" w:cs="Times New Roman"/>
        </w:rPr>
        <w:t xml:space="preserve"> como la fuente preferida</w:t>
      </w:r>
      <w:r w:rsidR="00603894" w:rsidRPr="577BF0F5">
        <w:rPr>
          <w:rFonts w:ascii="Times New Roman" w:hAnsi="Times New Roman" w:cs="Times New Roman"/>
        </w:rPr>
        <w:t>;</w:t>
      </w:r>
      <w:r w:rsidR="00D83C8B" w:rsidRPr="577BF0F5">
        <w:rPr>
          <w:rFonts w:ascii="Times New Roman" w:hAnsi="Times New Roman" w:cs="Times New Roman"/>
        </w:rPr>
        <w:t xml:space="preserve"> luego</w:t>
      </w:r>
      <w:r w:rsidR="00603894" w:rsidRPr="577BF0F5">
        <w:rPr>
          <w:rFonts w:ascii="Times New Roman" w:hAnsi="Times New Roman" w:cs="Times New Roman"/>
        </w:rPr>
        <w:t>,</w:t>
      </w:r>
      <w:r w:rsidR="00D83C8B" w:rsidRPr="577BF0F5">
        <w:rPr>
          <w:rFonts w:ascii="Times New Roman" w:hAnsi="Times New Roman" w:cs="Times New Roman"/>
        </w:rPr>
        <w:t xml:space="preserve"> a través de deuda</w:t>
      </w:r>
      <w:r w:rsidR="00603894" w:rsidRPr="577BF0F5">
        <w:rPr>
          <w:rFonts w:ascii="Times New Roman" w:hAnsi="Times New Roman" w:cs="Times New Roman"/>
        </w:rPr>
        <w:t>,</w:t>
      </w:r>
      <w:r w:rsidR="00D83C8B" w:rsidRPr="577BF0F5">
        <w:rPr>
          <w:rFonts w:ascii="Times New Roman" w:hAnsi="Times New Roman" w:cs="Times New Roman"/>
        </w:rPr>
        <w:t xml:space="preserve"> y</w:t>
      </w:r>
      <w:r w:rsidR="00B05485" w:rsidRPr="577BF0F5">
        <w:rPr>
          <w:rFonts w:ascii="Times New Roman" w:hAnsi="Times New Roman" w:cs="Times New Roman"/>
        </w:rPr>
        <w:t>,</w:t>
      </w:r>
      <w:r w:rsidR="00D83C8B" w:rsidRPr="577BF0F5">
        <w:rPr>
          <w:rFonts w:ascii="Times New Roman" w:hAnsi="Times New Roman" w:cs="Times New Roman"/>
        </w:rPr>
        <w:t xml:space="preserve"> finalmente</w:t>
      </w:r>
      <w:r w:rsidR="00B05485" w:rsidRPr="577BF0F5">
        <w:rPr>
          <w:rFonts w:ascii="Times New Roman" w:hAnsi="Times New Roman" w:cs="Times New Roman"/>
        </w:rPr>
        <w:t>,</w:t>
      </w:r>
      <w:r w:rsidR="00D83C8B" w:rsidRPr="577BF0F5">
        <w:rPr>
          <w:rFonts w:ascii="Times New Roman" w:hAnsi="Times New Roman" w:cs="Times New Roman"/>
        </w:rPr>
        <w:t xml:space="preserve"> por medio de aportes de capital de propietarios. Entonces, </w:t>
      </w:r>
      <w:r w:rsidR="00824E25" w:rsidRPr="577BF0F5">
        <w:rPr>
          <w:rFonts w:ascii="Times New Roman" w:hAnsi="Times New Roman" w:cs="Times New Roman"/>
        </w:rPr>
        <w:t xml:space="preserve">en épocas de </w:t>
      </w:r>
      <w:r>
        <w:rPr>
          <w:rFonts w:ascii="Times New Roman" w:hAnsi="Times New Roman" w:cs="Times New Roman"/>
        </w:rPr>
        <w:t>inestabilidad financiera</w:t>
      </w:r>
      <w:r w:rsidR="00824E25" w:rsidRPr="577BF0F5">
        <w:rPr>
          <w:rFonts w:ascii="Times New Roman" w:hAnsi="Times New Roman" w:cs="Times New Roman"/>
        </w:rPr>
        <w:t xml:space="preserve"> las empresas deberían saldar sus deudas para reducir el nivel de apalancamiento</w:t>
      </w:r>
      <w:r>
        <w:rPr>
          <w:rFonts w:ascii="Times New Roman" w:hAnsi="Times New Roman" w:cs="Times New Roman"/>
        </w:rPr>
        <w:t>, y, de esta forma, reducir su exposición a la quiebra; pero sí sustituyen de fuentes de financiamiento internos a externos la exposición al riesgo aumenta</w:t>
      </w:r>
      <w:r w:rsidR="00D83C8B" w:rsidRPr="577BF0F5">
        <w:rPr>
          <w:rFonts w:ascii="Times New Roman" w:hAnsi="Times New Roman" w:cs="Times New Roman"/>
        </w:rPr>
        <w:t>.</w:t>
      </w:r>
    </w:p>
    <w:p w14:paraId="0662F9D7" w14:textId="77777777" w:rsidR="0014174E" w:rsidRDefault="0014174E" w:rsidP="0014174E">
      <w:pPr>
        <w:pStyle w:val="Textoindependiente"/>
        <w:ind w:firstLine="708"/>
        <w:rPr>
          <w:rFonts w:ascii="Times New Roman" w:hAnsi="Times New Roman" w:cs="Times New Roman"/>
        </w:rPr>
      </w:pPr>
    </w:p>
    <w:p w14:paraId="6E065843" w14:textId="3A683C97" w:rsidR="00365F2E" w:rsidRDefault="00365F2E" w:rsidP="0014174E">
      <w:pPr>
        <w:ind w:firstLine="708"/>
        <w:jc w:val="both"/>
      </w:pPr>
      <w:r>
        <w:t>En el documento se va a considerar una diferencia entre el concepto</w:t>
      </w:r>
      <w:r w:rsidRPr="00850B99">
        <w:t xml:space="preserve"> de crisis financiera y de </w:t>
      </w:r>
      <w:r w:rsidR="0033719F">
        <w:t xml:space="preserve">inestabilidad </w:t>
      </w:r>
      <w:r w:rsidRPr="00850B99">
        <w:t>financiera</w:t>
      </w:r>
      <w:r>
        <w:t xml:space="preserve"> de las empresas</w:t>
      </w:r>
      <w:r w:rsidRPr="00850B99">
        <w:t>.</w:t>
      </w:r>
      <w:r w:rsidRPr="00365F2E">
        <w:t xml:space="preserve"> </w:t>
      </w:r>
      <w:r w:rsidR="00846173">
        <w:t>Para el estudio s</w:t>
      </w:r>
      <w:r w:rsidRPr="00365F2E">
        <w:t xml:space="preserve">e considera que </w:t>
      </w:r>
      <w:r w:rsidR="0033719F">
        <w:t>inestabilidad</w:t>
      </w:r>
      <w:r w:rsidRPr="00365F2E">
        <w:t xml:space="preserve"> financiera es una desaceleración en las actividades de las empresas, causada, probablemente, por una leve caída en las ventas o por choques externos a las compañías, y </w:t>
      </w:r>
      <w:r w:rsidRPr="00365F2E">
        <w:lastRenderedPageBreak/>
        <w:t>una crisis financiera es una desaceleración continuada (una tendencia) de las actividades de las empresas</w:t>
      </w:r>
      <w:r>
        <w:t>, que puede finalizar en la quiebra de las mismas</w:t>
      </w:r>
      <w:r w:rsidRPr="00850B99">
        <w:t>. En otras palabras, un episodio aislado en el tiempo</w:t>
      </w:r>
      <w:r>
        <w:t>,</w:t>
      </w:r>
      <w:r w:rsidRPr="00850B99">
        <w:t xml:space="preserve"> en el que las empresas de</w:t>
      </w:r>
      <w:r>
        <w:t>caen en sus ventas y utilidades</w:t>
      </w:r>
      <w:r w:rsidRPr="00850B99">
        <w:t xml:space="preserve">, podría ser solo un momento de </w:t>
      </w:r>
      <w:r w:rsidR="0033719F">
        <w:t>inestabilidad (insolvencia)</w:t>
      </w:r>
      <w:r w:rsidRPr="00850B99">
        <w:t xml:space="preserve">, </w:t>
      </w:r>
      <w:r>
        <w:t xml:space="preserve">pero </w:t>
      </w:r>
      <w:r w:rsidRPr="00850B99">
        <w:t xml:space="preserve">si esta dinámica se </w:t>
      </w:r>
      <w:r>
        <w:t xml:space="preserve">prolonga </w:t>
      </w:r>
      <w:r w:rsidRPr="00850B99">
        <w:t xml:space="preserve">durante varios períodos se puede hacer referencia a una crisis. </w:t>
      </w:r>
      <w:r>
        <w:t>G</w:t>
      </w:r>
      <w:r w:rsidRPr="00850B99">
        <w:t>racias a esta distinción se pud</w:t>
      </w:r>
      <w:r>
        <w:t>ieron</w:t>
      </w:r>
      <w:r w:rsidRPr="00850B99">
        <w:t xml:space="preserve"> escoger con mayor precis</w:t>
      </w:r>
      <w:r>
        <w:t>ión las variables que permiten</w:t>
      </w:r>
      <w:r w:rsidRPr="00850B99">
        <w:t xml:space="preserve"> aproximarse al efecto de las crisis en el nivel de apalancamiento. </w:t>
      </w:r>
    </w:p>
    <w:p w14:paraId="2D5D43FF" w14:textId="77777777" w:rsidR="00365F2E" w:rsidRDefault="00365F2E" w:rsidP="0014174E">
      <w:pPr>
        <w:pStyle w:val="Textoindependiente"/>
        <w:ind w:firstLine="708"/>
        <w:rPr>
          <w:rFonts w:ascii="Times New Roman" w:hAnsi="Times New Roman" w:cs="Times New Roman"/>
        </w:rPr>
      </w:pPr>
    </w:p>
    <w:p w14:paraId="373EB797" w14:textId="659087E9" w:rsidR="001F46DA" w:rsidRDefault="577BF0F5" w:rsidP="001F46DA">
      <w:pPr>
        <w:pStyle w:val="Textoindependiente"/>
        <w:ind w:firstLine="708"/>
        <w:rPr>
          <w:rFonts w:ascii="Times New Roman" w:hAnsi="Times New Roman" w:cs="Times New Roman"/>
        </w:rPr>
      </w:pPr>
      <w:r w:rsidRPr="577BF0F5">
        <w:rPr>
          <w:rFonts w:ascii="Times New Roman" w:hAnsi="Times New Roman" w:cs="Times New Roman"/>
        </w:rPr>
        <w:t xml:space="preserve">En ese sentido, el objetivo del artículo es evaluar </w:t>
      </w:r>
      <w:r w:rsidR="00EF6B4F">
        <w:rPr>
          <w:rFonts w:ascii="Times New Roman" w:hAnsi="Times New Roman" w:cs="Times New Roman"/>
        </w:rPr>
        <w:t xml:space="preserve">cómo </w:t>
      </w:r>
      <w:r w:rsidR="000728E3">
        <w:rPr>
          <w:rFonts w:ascii="Times New Roman" w:hAnsi="Times New Roman" w:cs="Times New Roman"/>
        </w:rPr>
        <w:t xml:space="preserve">escenarios de </w:t>
      </w:r>
      <w:r w:rsidR="0033719F">
        <w:rPr>
          <w:rFonts w:ascii="Times New Roman" w:hAnsi="Times New Roman" w:cs="Times New Roman"/>
        </w:rPr>
        <w:t>inestabilidad</w:t>
      </w:r>
      <w:r w:rsidR="00EF6B4F">
        <w:rPr>
          <w:rFonts w:ascii="Times New Roman" w:hAnsi="Times New Roman" w:cs="Times New Roman"/>
        </w:rPr>
        <w:t xml:space="preserve"> financiera afectan </w:t>
      </w:r>
      <w:r w:rsidRPr="577BF0F5">
        <w:rPr>
          <w:rFonts w:ascii="Times New Roman" w:hAnsi="Times New Roman" w:cs="Times New Roman"/>
        </w:rPr>
        <w:t>el apalancamiento de las empresas colombianas y argentinas entre los años 2005 y 2015; por lo que resulta relevante explicar el efecto de múltiples determinantes del apalancamiento empresarial que ya han sido estimados por diversos autores. Ahora bien, con base en la información de las empresas de Colombia y Argentina, en este trabajo se encue</w:t>
      </w:r>
      <w:r w:rsidR="001F46DA">
        <w:rPr>
          <w:rFonts w:ascii="Times New Roman" w:hAnsi="Times New Roman" w:cs="Times New Roman"/>
        </w:rPr>
        <w:t>ntra que los determinantes asociados a la liquidez y las</w:t>
      </w:r>
      <w:r w:rsidRPr="577BF0F5">
        <w:rPr>
          <w:rFonts w:ascii="Times New Roman" w:hAnsi="Times New Roman" w:cs="Times New Roman"/>
        </w:rPr>
        <w:t xml:space="preserve"> pérdidas son los más influyentes en la estructura de capital.</w:t>
      </w:r>
      <w:r w:rsidR="001F46DA">
        <w:rPr>
          <w:rFonts w:ascii="Times New Roman" w:hAnsi="Times New Roman" w:cs="Times New Roman"/>
        </w:rPr>
        <w:t xml:space="preserve"> Por tanto, e</w:t>
      </w:r>
      <w:r w:rsidR="001F46DA" w:rsidRPr="577BF0F5">
        <w:rPr>
          <w:rFonts w:ascii="Times New Roman" w:hAnsi="Times New Roman" w:cs="Times New Roman"/>
        </w:rPr>
        <w:t>ste documento es</w:t>
      </w:r>
      <w:r w:rsidR="001F46DA">
        <w:rPr>
          <w:rFonts w:ascii="Times New Roman" w:hAnsi="Times New Roman" w:cs="Times New Roman"/>
        </w:rPr>
        <w:t xml:space="preserve"> de relevancia para las firmas</w:t>
      </w:r>
      <w:r w:rsidR="001F46DA" w:rsidRPr="577BF0F5">
        <w:rPr>
          <w:rFonts w:ascii="Times New Roman" w:hAnsi="Times New Roman" w:cs="Times New Roman"/>
        </w:rPr>
        <w:t>, en particular para los tomadores de decisión en el ámbito financiero, dado que facilita entender de qué manera se vería a</w:t>
      </w:r>
      <w:r w:rsidR="001F46DA">
        <w:rPr>
          <w:rFonts w:ascii="Times New Roman" w:hAnsi="Times New Roman" w:cs="Times New Roman"/>
        </w:rPr>
        <w:t>fectada la estructura del financiamiento de los activos de la</w:t>
      </w:r>
      <w:r w:rsidR="001F46DA" w:rsidRPr="577BF0F5">
        <w:rPr>
          <w:rFonts w:ascii="Times New Roman" w:hAnsi="Times New Roman" w:cs="Times New Roman"/>
        </w:rPr>
        <w:t xml:space="preserve">s empresas en épocas de fragilidad o crisis financiera. </w:t>
      </w:r>
      <w:r w:rsidR="001F46DA">
        <w:rPr>
          <w:rFonts w:ascii="Times New Roman" w:hAnsi="Times New Roman" w:cs="Times New Roman"/>
        </w:rPr>
        <w:t>Sin embargo,</w:t>
      </w:r>
      <w:r w:rsidR="001F46DA" w:rsidRPr="577BF0F5">
        <w:rPr>
          <w:rFonts w:ascii="Times New Roman" w:hAnsi="Times New Roman" w:cs="Times New Roman"/>
        </w:rPr>
        <w:t xml:space="preserve"> como lo demostraron Assenmacher-Wesche</w:t>
      </w:r>
      <w:r w:rsidR="001F46DA">
        <w:rPr>
          <w:rFonts w:ascii="Times New Roman" w:hAnsi="Times New Roman" w:cs="Times New Roman"/>
        </w:rPr>
        <w:t xml:space="preserve"> y</w:t>
      </w:r>
      <w:r w:rsidR="001F46DA" w:rsidRPr="577BF0F5">
        <w:rPr>
          <w:rFonts w:ascii="Times New Roman" w:hAnsi="Times New Roman" w:cs="Times New Roman"/>
        </w:rPr>
        <w:t xml:space="preserve"> Gerlach </w:t>
      </w:r>
      <w:sdt>
        <w:sdtPr>
          <w:rPr>
            <w:rFonts w:ascii="Times New Roman" w:hAnsi="Times New Roman" w:cs="Times New Roman"/>
          </w:rPr>
          <w:id w:val="-1057932877"/>
          <w:citation/>
        </w:sdtPr>
        <w:sdtEndPr/>
        <w:sdtContent>
          <w:r w:rsidR="001F46DA">
            <w:rPr>
              <w:rFonts w:ascii="Times New Roman" w:hAnsi="Times New Roman" w:cs="Times New Roman"/>
            </w:rPr>
            <w:fldChar w:fldCharType="begin"/>
          </w:r>
          <w:r w:rsidR="001F46DA">
            <w:rPr>
              <w:rFonts w:ascii="Times New Roman" w:hAnsi="Times New Roman" w:cs="Times New Roman"/>
              <w:lang w:val="es-CO"/>
            </w:rPr>
            <w:instrText xml:space="preserve">CITATION Ass08 \n  \t  \l 9226 </w:instrText>
          </w:r>
          <w:r w:rsidR="001F46DA">
            <w:rPr>
              <w:rFonts w:ascii="Times New Roman" w:hAnsi="Times New Roman" w:cs="Times New Roman"/>
            </w:rPr>
            <w:fldChar w:fldCharType="separate"/>
          </w:r>
          <w:r w:rsidR="001F46DA" w:rsidRPr="001F46DA">
            <w:rPr>
              <w:rFonts w:ascii="Times New Roman" w:hAnsi="Times New Roman" w:cs="Times New Roman"/>
              <w:noProof/>
              <w:lang w:val="es-CO"/>
            </w:rPr>
            <w:t>(2008)</w:t>
          </w:r>
          <w:r w:rsidR="001F46DA">
            <w:rPr>
              <w:rFonts w:ascii="Times New Roman" w:hAnsi="Times New Roman" w:cs="Times New Roman"/>
            </w:rPr>
            <w:fldChar w:fldCharType="end"/>
          </w:r>
        </w:sdtContent>
      </w:sdt>
      <w:r w:rsidR="001F46DA">
        <w:rPr>
          <w:rFonts w:ascii="Times New Roman" w:hAnsi="Times New Roman" w:cs="Times New Roman"/>
        </w:rPr>
        <w:t xml:space="preserve"> y Rodríguez y </w:t>
      </w:r>
      <w:r w:rsidR="001F46DA" w:rsidRPr="577BF0F5">
        <w:rPr>
          <w:rFonts w:ascii="Times New Roman" w:hAnsi="Times New Roman" w:cs="Times New Roman"/>
        </w:rPr>
        <w:t>Mor</w:t>
      </w:r>
      <w:r w:rsidR="001F46DA">
        <w:rPr>
          <w:rFonts w:ascii="Times New Roman" w:hAnsi="Times New Roman" w:cs="Times New Roman"/>
        </w:rPr>
        <w:t>eno (2011), una época de inestabili</w:t>
      </w:r>
      <w:r w:rsidR="001F46DA" w:rsidRPr="577BF0F5">
        <w:rPr>
          <w:rFonts w:ascii="Times New Roman" w:hAnsi="Times New Roman" w:cs="Times New Roman"/>
        </w:rPr>
        <w:t>dad financiera puede afectar múltiples aspectos de las empresas, más allá del nivel de apalancamiento de estas.</w:t>
      </w:r>
    </w:p>
    <w:p w14:paraId="719BD4E4" w14:textId="77777777" w:rsidR="0014174E" w:rsidRDefault="0014174E" w:rsidP="001F46DA">
      <w:pPr>
        <w:pStyle w:val="Textoindependiente"/>
        <w:rPr>
          <w:rFonts w:ascii="Times New Roman" w:hAnsi="Times New Roman" w:cs="Times New Roman"/>
        </w:rPr>
      </w:pPr>
    </w:p>
    <w:p w14:paraId="0F823CDC" w14:textId="22A3778F" w:rsidR="00F95C56" w:rsidRDefault="577BF0F5" w:rsidP="0014174E">
      <w:pPr>
        <w:pStyle w:val="Textoindependiente"/>
        <w:ind w:firstLine="708"/>
        <w:rPr>
          <w:rFonts w:ascii="Times New Roman" w:hAnsi="Times New Roman" w:cs="Times New Roman"/>
        </w:rPr>
      </w:pPr>
      <w:r w:rsidRPr="577BF0F5">
        <w:rPr>
          <w:rFonts w:ascii="Times New Roman" w:hAnsi="Times New Roman" w:cs="Times New Roman"/>
        </w:rPr>
        <w:t xml:space="preserve">La estructura del documento es la siguiente: en primer lugar, se aborda una revisión de literatura que presenta las teorías y la evidencia empírica en cuanto a los </w:t>
      </w:r>
      <w:r w:rsidR="00EF6B4F">
        <w:rPr>
          <w:rFonts w:ascii="Times New Roman" w:hAnsi="Times New Roman" w:cs="Times New Roman"/>
        </w:rPr>
        <w:t xml:space="preserve">principales factores que explican </w:t>
      </w:r>
      <w:r w:rsidRPr="577BF0F5">
        <w:rPr>
          <w:rFonts w:ascii="Times New Roman" w:hAnsi="Times New Roman" w:cs="Times New Roman"/>
        </w:rPr>
        <w:t>la estructura de capital y, en particular, algunos hallazgos que se han realizado en Latinoamérica, pero que no toman en cuenta el concepto de crisis financiera; posteriormente, se introduce el modelo econométrico empleado en esta investigación y se explica la metodología de análisis y la base de datos utilizada; finalmente, se hace un análisis de los datos y de los resultados, los cuales conllevan unas conclusiones.</w:t>
      </w:r>
    </w:p>
    <w:p w14:paraId="126579F3" w14:textId="77777777" w:rsidR="00F95C56" w:rsidRDefault="00F95C56" w:rsidP="0014174E">
      <w:pPr>
        <w:pStyle w:val="Textoindependiente"/>
        <w:ind w:firstLine="708"/>
        <w:rPr>
          <w:rFonts w:ascii="Times New Roman" w:hAnsi="Times New Roman" w:cs="Times New Roman"/>
        </w:rPr>
      </w:pPr>
    </w:p>
    <w:p w14:paraId="5A041154" w14:textId="0FBE479C" w:rsidR="00F95C56" w:rsidRDefault="006C3194" w:rsidP="0014174E">
      <w:pPr>
        <w:pStyle w:val="Prrafodelista"/>
        <w:numPr>
          <w:ilvl w:val="0"/>
          <w:numId w:val="10"/>
        </w:numPr>
        <w:jc w:val="center"/>
        <w:rPr>
          <w:b/>
          <w:bCs/>
        </w:rPr>
      </w:pPr>
      <w:r w:rsidRPr="577BF0F5">
        <w:rPr>
          <w:b/>
          <w:bCs/>
        </w:rPr>
        <w:t>REVISIÓN DE LITERATURA</w:t>
      </w:r>
    </w:p>
    <w:p w14:paraId="6919AA3D" w14:textId="77777777" w:rsidR="00F95C56" w:rsidRDefault="00F95C56" w:rsidP="0014174E">
      <w:pPr>
        <w:ind w:firstLine="708"/>
        <w:jc w:val="both"/>
      </w:pPr>
    </w:p>
    <w:p w14:paraId="2E9EA34F" w14:textId="5B3C591F" w:rsidR="008A52CF" w:rsidRDefault="008A52CF" w:rsidP="008A52CF">
      <w:pPr>
        <w:ind w:firstLine="708"/>
        <w:jc w:val="both"/>
      </w:pPr>
      <w:r>
        <w:t>Desde un</w:t>
      </w:r>
      <w:r w:rsidRPr="00365F2E">
        <w:t xml:space="preserve"> punto de vista macroeconómico el mecanismo mediante el cual la fragilidad financiera se convierte en crisis en el sistema económico es expuesto por Minsky (1982); este autor indica que a través de la inclusión de factores financieros a la teoría de la inversión se puede explicar la forma como</w:t>
      </w:r>
      <w:r>
        <w:t xml:space="preserve"> los condicionantes </w:t>
      </w:r>
      <w:r w:rsidRPr="00365F2E">
        <w:t>de</w:t>
      </w:r>
      <w:r>
        <w:t>l</w:t>
      </w:r>
      <w:r w:rsidRPr="00365F2E">
        <w:t xml:space="preserve"> alto </w:t>
      </w:r>
      <w:r>
        <w:t xml:space="preserve">crecimiento económico forman </w:t>
      </w:r>
      <w:r w:rsidRPr="00365F2E">
        <w:t>expectativa</w:t>
      </w:r>
      <w:r>
        <w:t xml:space="preserve">s que favorecen una mayor </w:t>
      </w:r>
      <w:r w:rsidRPr="00365F2E">
        <w:t xml:space="preserve">inversión y, por tanto, de mayor financiamiento </w:t>
      </w:r>
      <w:r>
        <w:t>con</w:t>
      </w:r>
      <w:r w:rsidRPr="00365F2E">
        <w:t xml:space="preserve"> crédito. Las expectativas optimistas conducen a que </w:t>
      </w:r>
      <w:r>
        <w:t>las empresa</w:t>
      </w:r>
      <w:r w:rsidRPr="00365F2E">
        <w:t>s</w:t>
      </w:r>
      <w:r>
        <w:t xml:space="preserve"> </w:t>
      </w:r>
      <w:r w:rsidRPr="00365F2E">
        <w:t>se sobre endeuden, pero este proceso de bonanza finaliza en un esquema especulativo tipo Ponzi</w:t>
      </w:r>
      <w:r w:rsidRPr="00365F2E">
        <w:rPr>
          <w:rStyle w:val="Refdenotaalpie"/>
        </w:rPr>
        <w:footnoteReference w:id="1"/>
      </w:r>
      <w:r w:rsidRPr="00365F2E">
        <w:t xml:space="preserve"> cuando las deudas se tiene</w:t>
      </w:r>
      <w:r>
        <w:t>n que reestructurar. En conclusión</w:t>
      </w:r>
      <w:r w:rsidRPr="00365F2E">
        <w:t xml:space="preserve">, </w:t>
      </w:r>
      <w:r>
        <w:t>considerando la visión</w:t>
      </w:r>
      <w:r w:rsidRPr="00365F2E">
        <w:t xml:space="preserve"> de Minsky (1982), una recesión o crisis económica </w:t>
      </w:r>
      <w:r w:rsidR="005F7720">
        <w:t>surge cuando las empresas tienen un exceso de endeudamiento y se declaran insolventes. Ahora, posterior a la crisis las empresas debe</w:t>
      </w:r>
      <w:r w:rsidRPr="00365F2E">
        <w:t xml:space="preserve">n </w:t>
      </w:r>
      <w:r>
        <w:t>disminuir</w:t>
      </w:r>
      <w:r w:rsidRPr="00365F2E">
        <w:t xml:space="preserve"> sus </w:t>
      </w:r>
      <w:r w:rsidRPr="00365F2E">
        <w:lastRenderedPageBreak/>
        <w:t xml:space="preserve">niveles de deuda y, por tanto, </w:t>
      </w:r>
      <w:r w:rsidR="00B555F1">
        <w:t xml:space="preserve">la </w:t>
      </w:r>
      <w:r w:rsidRPr="00365F2E">
        <w:t>s</w:t>
      </w:r>
      <w:r w:rsidR="00B555F1">
        <w:t xml:space="preserve">ituación de crisis de la economía lleva a que </w:t>
      </w:r>
      <w:r w:rsidRPr="00365F2E">
        <w:t xml:space="preserve">el apalancamiento empresarial </w:t>
      </w:r>
      <w:r w:rsidR="00B555F1">
        <w:t>tienda a disminuir</w:t>
      </w:r>
      <w:r w:rsidRPr="00365F2E">
        <w:t>.</w:t>
      </w:r>
    </w:p>
    <w:p w14:paraId="16EBCAEB" w14:textId="77777777" w:rsidR="008A52CF" w:rsidRDefault="008A52CF" w:rsidP="008A52CF">
      <w:pPr>
        <w:ind w:firstLine="708"/>
        <w:jc w:val="both"/>
      </w:pPr>
    </w:p>
    <w:p w14:paraId="6ED45C34" w14:textId="0D238309" w:rsidR="008A52CF" w:rsidRDefault="00B555F1" w:rsidP="008A52CF">
      <w:pPr>
        <w:ind w:firstLine="708"/>
        <w:jc w:val="both"/>
      </w:pPr>
      <w:r>
        <w:t>Un</w:t>
      </w:r>
      <w:r w:rsidR="008A52CF">
        <w:t xml:space="preserve">a explicación de la crisis financiera </w:t>
      </w:r>
      <w:r>
        <w:t>cercana a</w:t>
      </w:r>
      <w:r w:rsidR="008A52CF">
        <w:t xml:space="preserve"> las decisiones de inversión de las empresas está definida en la teoría del “acelerador financiero”, la cual fue desarrollada por Bernanke </w:t>
      </w:r>
      <w:r w:rsidR="008A52CF">
        <w:rPr>
          <w:i/>
        </w:rPr>
        <w:t xml:space="preserve">et al. </w:t>
      </w:r>
      <w:r w:rsidR="008A52CF">
        <w:t xml:space="preserve">(1999) y sustenta cómo los precios de los activos de las empresas determinan la prima para el financiamiento de nuevos proyectos. Por </w:t>
      </w:r>
      <w:r w:rsidR="000D5B9D">
        <w:t>lo anterior</w:t>
      </w:r>
      <w:r w:rsidR="008A52CF">
        <w:t xml:space="preserve">, debido a las fricciones en </w:t>
      </w:r>
      <w:r>
        <w:t xml:space="preserve">el mercado de crédito (originados por la información imperfecta en el mercado financiero) </w:t>
      </w:r>
      <w:r w:rsidR="008A52CF">
        <w:t xml:space="preserve">el financiamiento con recursos propios tiene un costo inferior al que se hace con recursos ajenos. En ese sentido, un choque negativo en los precios de los activos aumenta la prima de financiamiento con recursos externos y restringe el acceso </w:t>
      </w:r>
      <w:r w:rsidR="000E1A44">
        <w:t xml:space="preserve">de las empresas </w:t>
      </w:r>
      <w:r w:rsidR="008A52CF">
        <w:t>al crédito.</w:t>
      </w:r>
      <w:r w:rsidR="000E1A44">
        <w:t xml:space="preserve"> Este fenómeno lleva a que empresas con expansión a través de pasivos, en momentos de crisis tienen que restringir su nivel de </w:t>
      </w:r>
      <w:r w:rsidR="009257C9">
        <w:t>endeudamien</w:t>
      </w:r>
      <w:r w:rsidR="000E1A44">
        <w:t>to, y, por tanto, una contracción del crédito encadena una reducción más fuerte en la actividad económica.</w:t>
      </w:r>
      <w:r w:rsidR="000D5B9D">
        <w:t xml:space="preserve"> </w:t>
      </w:r>
    </w:p>
    <w:p w14:paraId="10307900" w14:textId="77777777" w:rsidR="008A52CF" w:rsidRDefault="008A52CF" w:rsidP="0014174E">
      <w:pPr>
        <w:jc w:val="both"/>
      </w:pPr>
    </w:p>
    <w:p w14:paraId="13E34942" w14:textId="792F5587" w:rsidR="00F95C56" w:rsidRDefault="000D5B9D" w:rsidP="00036FE0">
      <w:pPr>
        <w:ind w:firstLine="708"/>
        <w:jc w:val="both"/>
      </w:pPr>
      <w:r>
        <w:t xml:space="preserve">Para comprender </w:t>
      </w:r>
      <w:r w:rsidR="00036FE0">
        <w:t xml:space="preserve">la dinámica del apalancamiento empresarial es necesario comprender sus </w:t>
      </w:r>
      <w:r w:rsidR="00036FE0" w:rsidRPr="00850B99">
        <w:t>de</w:t>
      </w:r>
      <w:r w:rsidR="00036FE0">
        <w:t>terminantes, y d</w:t>
      </w:r>
      <w:r w:rsidR="00C3347E">
        <w:t>entro d</w:t>
      </w:r>
      <w:r w:rsidR="001C3DA5">
        <w:t>e los principales trabajos</w:t>
      </w:r>
      <w:r w:rsidR="00C3347E" w:rsidRPr="00850B99">
        <w:t xml:space="preserve"> se destacan </w:t>
      </w:r>
      <w:r w:rsidR="0040057C">
        <w:t>los</w:t>
      </w:r>
      <w:r w:rsidR="00C3347E" w:rsidRPr="00850B99">
        <w:t xml:space="preserve"> </w:t>
      </w:r>
      <w:r w:rsidR="00C3347E">
        <w:t>d</w:t>
      </w:r>
      <w:r w:rsidR="00C3347E" w:rsidRPr="00850B99">
        <w:t>e M</w:t>
      </w:r>
      <w:r w:rsidR="00C3347E">
        <w:t>odigliani y Miller (1958, 1963)</w:t>
      </w:r>
      <w:r w:rsidR="00C2479F">
        <w:t>,</w:t>
      </w:r>
      <w:r w:rsidR="00C3347E">
        <w:t xml:space="preserve"> quienes</w:t>
      </w:r>
      <w:r w:rsidR="00C3347E" w:rsidRPr="00850B99">
        <w:t xml:space="preserve"> fuer</w:t>
      </w:r>
      <w:r w:rsidR="00C3347E">
        <w:t xml:space="preserve">on los precursores </w:t>
      </w:r>
      <w:r w:rsidR="00C2479F">
        <w:t>del</w:t>
      </w:r>
      <w:r w:rsidR="000F7EB6">
        <w:t xml:space="preserve"> análisis</w:t>
      </w:r>
      <w:r w:rsidR="00C3347E" w:rsidRPr="00850B99">
        <w:t xml:space="preserve"> </w:t>
      </w:r>
      <w:r w:rsidR="000F7EB6">
        <w:t>d</w:t>
      </w:r>
      <w:r w:rsidR="00C3347E" w:rsidRPr="00850B99">
        <w:t>el nivel de deuda empresarial.</w:t>
      </w:r>
      <w:r w:rsidR="00C3347E">
        <w:t xml:space="preserve"> </w:t>
      </w:r>
      <w:r w:rsidR="00C3347E" w:rsidRPr="00850B99">
        <w:t xml:space="preserve">Posterior a </w:t>
      </w:r>
      <w:r w:rsidR="00C3347E">
        <w:t>esto</w:t>
      </w:r>
      <w:r w:rsidR="00C3347E" w:rsidRPr="00850B99">
        <w:t>s trabajos</w:t>
      </w:r>
      <w:r w:rsidR="00C3347E">
        <w:t xml:space="preserve"> </w:t>
      </w:r>
      <w:r w:rsidR="00C3347E" w:rsidRPr="00850B99">
        <w:t>se desarrollaron una serie de investigaciones que buscaron entender el endeudamiento e</w:t>
      </w:r>
      <w:r w:rsidR="000F7EB6">
        <w:t>n las empresas</w:t>
      </w:r>
      <w:r w:rsidR="00C2479F">
        <w:t>; p</w:t>
      </w:r>
      <w:r w:rsidR="000F7EB6">
        <w:t>or</w:t>
      </w:r>
      <w:r w:rsidR="003473A0">
        <w:t xml:space="preserve"> ejemplo,</w:t>
      </w:r>
      <w:r w:rsidR="00585315" w:rsidRPr="00850B99">
        <w:t xml:space="preserve"> Miller</w:t>
      </w:r>
      <w:r w:rsidR="003473A0">
        <w:t xml:space="preserve"> </w:t>
      </w:r>
      <w:sdt>
        <w:sdtPr>
          <w:id w:val="1880585834"/>
          <w:citation/>
        </w:sdtPr>
        <w:sdtEndPr/>
        <w:sdtContent>
          <w:r w:rsidR="00824E25">
            <w:fldChar w:fldCharType="begin"/>
          </w:r>
          <w:r w:rsidR="000F7EB6">
            <w:rPr>
              <w:lang w:val="es-CO"/>
            </w:rPr>
            <w:instrText xml:space="preserve">CITATION Mil77 \n  \t  \l 9226 </w:instrText>
          </w:r>
          <w:r w:rsidR="00824E25">
            <w:fldChar w:fldCharType="separate"/>
          </w:r>
          <w:r w:rsidR="000A438B" w:rsidRPr="000A438B">
            <w:rPr>
              <w:noProof/>
              <w:lang w:val="es-CO"/>
            </w:rPr>
            <w:t>(1977)</w:t>
          </w:r>
          <w:r w:rsidR="00824E25">
            <w:fldChar w:fldCharType="end"/>
          </w:r>
        </w:sdtContent>
      </w:sdt>
      <w:r w:rsidR="00585315" w:rsidRPr="00850B99">
        <w:t xml:space="preserve"> introduce </w:t>
      </w:r>
      <w:r w:rsidR="001D2FE9">
        <w:t xml:space="preserve">dentro del modelo la variable relacionada con </w:t>
      </w:r>
      <w:r w:rsidR="00585315" w:rsidRPr="00850B99">
        <w:t>los impu</w:t>
      </w:r>
      <w:r w:rsidR="007E05B3" w:rsidRPr="00850B99">
        <w:t>estos corporativos</w:t>
      </w:r>
      <w:r w:rsidR="001B473B">
        <w:t>,</w:t>
      </w:r>
      <w:r w:rsidR="007E05B3" w:rsidRPr="00850B99">
        <w:t xml:space="preserve"> y encuentra que </w:t>
      </w:r>
      <w:r w:rsidR="00585315" w:rsidRPr="00850B99">
        <w:t xml:space="preserve">no es óptimo para las empresas endeudarse </w:t>
      </w:r>
      <w:r w:rsidR="002E121D" w:rsidRPr="00850B99">
        <w:t>al máximo</w:t>
      </w:r>
      <w:r w:rsidR="00C3347E">
        <w:t>,</w:t>
      </w:r>
      <w:r w:rsidR="002E121D" w:rsidRPr="00850B99">
        <w:t xml:space="preserve"> </w:t>
      </w:r>
      <w:r w:rsidR="00585315" w:rsidRPr="00850B99">
        <w:t xml:space="preserve">ya que sería muy riesgoso </w:t>
      </w:r>
      <w:r w:rsidR="00036FE0">
        <w:t>si los impuestos llegasen</w:t>
      </w:r>
      <w:r w:rsidR="00AF5BDF" w:rsidRPr="00850B99">
        <w:t xml:space="preserve"> a subir</w:t>
      </w:r>
      <w:r w:rsidR="00C2479F">
        <w:t>; de</w:t>
      </w:r>
      <w:r w:rsidR="004A5884" w:rsidRPr="00850B99">
        <w:t xml:space="preserve"> ese trabajo se </w:t>
      </w:r>
      <w:r w:rsidR="001B473B">
        <w:t xml:space="preserve">desprende </w:t>
      </w:r>
      <w:r w:rsidR="004A5884" w:rsidRPr="00850B99">
        <w:t>la importancia de evaluar</w:t>
      </w:r>
      <w:r w:rsidR="001B473B">
        <w:t xml:space="preserve"> </w:t>
      </w:r>
      <w:r w:rsidR="00036FE0">
        <w:t>en est</w:t>
      </w:r>
      <w:r w:rsidR="001B473B" w:rsidRPr="00850B99">
        <w:t>a investigación</w:t>
      </w:r>
      <w:r w:rsidR="004A5884" w:rsidRPr="00850B99">
        <w:t xml:space="preserve"> los escudos fiscales</w:t>
      </w:r>
      <w:r w:rsidR="00036FE0">
        <w:t xml:space="preserve"> y los aspectos tributarios asociadas al funcionamiento de la empresa</w:t>
      </w:r>
      <w:r w:rsidR="004A5884" w:rsidRPr="00850B99">
        <w:t>.</w:t>
      </w:r>
      <w:r w:rsidR="00036FE0">
        <w:t xml:space="preserve"> </w:t>
      </w:r>
      <w:r w:rsidR="002E121D" w:rsidRPr="00850B99">
        <w:t xml:space="preserve">Entre </w:t>
      </w:r>
      <w:r w:rsidR="00645848">
        <w:t>los</w:t>
      </w:r>
      <w:r w:rsidR="002E121D" w:rsidRPr="00850B99">
        <w:t xml:space="preserve"> estudios que </w:t>
      </w:r>
      <w:r w:rsidR="00AE6A41">
        <w:t>establecen</w:t>
      </w:r>
      <w:r w:rsidR="002E121D" w:rsidRPr="00850B99">
        <w:t xml:space="preserve"> un nivel óptimo de apalancamiento se destaca</w:t>
      </w:r>
      <w:r w:rsidR="00645848">
        <w:t>n</w:t>
      </w:r>
      <w:r w:rsidR="002E121D" w:rsidRPr="00850B99">
        <w:t xml:space="preserve"> </w:t>
      </w:r>
      <w:r w:rsidR="00645848">
        <w:t>los</w:t>
      </w:r>
      <w:r w:rsidR="002E121D" w:rsidRPr="00850B99">
        <w:t xml:space="preserve"> de </w:t>
      </w:r>
      <w:r w:rsidR="001F73DE" w:rsidRPr="00850B99">
        <w:t>Lela</w:t>
      </w:r>
      <w:r w:rsidR="00653B10" w:rsidRPr="00850B99">
        <w:t xml:space="preserve">nd </w:t>
      </w:r>
      <w:sdt>
        <w:sdtPr>
          <w:id w:val="-558790893"/>
          <w:citation/>
        </w:sdtPr>
        <w:sdtEndPr/>
        <w:sdtContent>
          <w:r w:rsidR="00824E25">
            <w:fldChar w:fldCharType="begin"/>
          </w:r>
          <w:r w:rsidR="00645848">
            <w:rPr>
              <w:lang w:val="es-CO"/>
            </w:rPr>
            <w:instrText xml:space="preserve">CITATION Lel94 \n  \t  \l 9226 </w:instrText>
          </w:r>
          <w:r w:rsidR="00824E25">
            <w:fldChar w:fldCharType="separate"/>
          </w:r>
          <w:r w:rsidR="000A438B" w:rsidRPr="000A438B">
            <w:rPr>
              <w:noProof/>
              <w:lang w:val="es-CO"/>
            </w:rPr>
            <w:t>(1994)</w:t>
          </w:r>
          <w:r w:rsidR="00824E25">
            <w:fldChar w:fldCharType="end"/>
          </w:r>
        </w:sdtContent>
      </w:sdt>
      <w:r w:rsidR="00645848">
        <w:t xml:space="preserve"> y</w:t>
      </w:r>
      <w:r w:rsidR="00653B10" w:rsidRPr="00850B99">
        <w:t xml:space="preserve"> Leland y</w:t>
      </w:r>
      <w:r w:rsidR="00645848">
        <w:t xml:space="preserve"> Toft </w:t>
      </w:r>
      <w:sdt>
        <w:sdtPr>
          <w:id w:val="-108986623"/>
          <w:citation/>
        </w:sdtPr>
        <w:sdtEndPr/>
        <w:sdtContent>
          <w:r w:rsidR="00824E25">
            <w:fldChar w:fldCharType="begin"/>
          </w:r>
          <w:r w:rsidR="00645848">
            <w:rPr>
              <w:lang w:val="es-CO"/>
            </w:rPr>
            <w:instrText xml:space="preserve">CITATION Lel96 \n  \t  \l 9226 </w:instrText>
          </w:r>
          <w:r w:rsidR="00824E25">
            <w:fldChar w:fldCharType="separate"/>
          </w:r>
          <w:r w:rsidR="000A438B" w:rsidRPr="000A438B">
            <w:rPr>
              <w:noProof/>
              <w:lang w:val="es-CO"/>
            </w:rPr>
            <w:t>(1996)</w:t>
          </w:r>
          <w:r w:rsidR="00824E25">
            <w:fldChar w:fldCharType="end"/>
          </w:r>
        </w:sdtContent>
      </w:sdt>
      <w:r w:rsidR="008D52EE">
        <w:t>,</w:t>
      </w:r>
      <w:r w:rsidR="001F73DE" w:rsidRPr="00850B99">
        <w:t xml:space="preserve"> </w:t>
      </w:r>
      <w:r w:rsidR="00AE6A41">
        <w:t>quienes</w:t>
      </w:r>
      <w:r w:rsidR="007E05B3" w:rsidRPr="00850B99">
        <w:t xml:space="preserve"> </w:t>
      </w:r>
      <w:r w:rsidR="00AE6A41">
        <w:t>determinan</w:t>
      </w:r>
      <w:r w:rsidR="001F73DE" w:rsidRPr="00850B99">
        <w:t xml:space="preserve"> </w:t>
      </w:r>
      <w:r w:rsidR="007E05B3" w:rsidRPr="00850B99">
        <w:t xml:space="preserve">que hay un beneficio obtenido por los escudos fiscales </w:t>
      </w:r>
      <w:r w:rsidR="00AE6A41">
        <w:t>con el</w:t>
      </w:r>
      <w:r w:rsidR="007E05B3" w:rsidRPr="00850B99">
        <w:t xml:space="preserve"> endeudamiento, pero que </w:t>
      </w:r>
      <w:r w:rsidR="00AE6A41">
        <w:t>no</w:t>
      </w:r>
      <w:r w:rsidR="007E05B3" w:rsidRPr="00850B99">
        <w:t xml:space="preserve"> puede superar </w:t>
      </w:r>
      <w:r w:rsidR="00AE6A41">
        <w:t>los</w:t>
      </w:r>
      <w:r w:rsidR="007E05B3" w:rsidRPr="00850B99">
        <w:t xml:space="preserve"> costos de quiebra</w:t>
      </w:r>
      <w:r w:rsidR="008D52EE">
        <w:t>,</w:t>
      </w:r>
      <w:r w:rsidR="007E05B3" w:rsidRPr="00850B99">
        <w:t xml:space="preserve"> dado que </w:t>
      </w:r>
      <w:r w:rsidR="00AA31E7" w:rsidRPr="00850B99">
        <w:t xml:space="preserve">el efecto </w:t>
      </w:r>
      <w:r w:rsidR="00B34B16" w:rsidRPr="00850B99">
        <w:t>pasa a ser negativo</w:t>
      </w:r>
      <w:r w:rsidR="008D52EE">
        <w:t>; e</w:t>
      </w:r>
      <w:r w:rsidR="002E121D" w:rsidRPr="00850B99">
        <w:t xml:space="preserve">n otras palabras, encuentran un punto </w:t>
      </w:r>
      <w:r w:rsidR="00645848">
        <w:t>óptimo</w:t>
      </w:r>
      <w:r w:rsidR="002E121D" w:rsidRPr="00850B99">
        <w:t xml:space="preserve"> de endeudamiento que permite obtener el mayor provecho de los escudos fiscales.</w:t>
      </w:r>
    </w:p>
    <w:p w14:paraId="582A86E7" w14:textId="77777777" w:rsidR="0014174E" w:rsidRDefault="0014174E" w:rsidP="0014174E">
      <w:pPr>
        <w:ind w:firstLine="708"/>
        <w:jc w:val="both"/>
      </w:pPr>
    </w:p>
    <w:p w14:paraId="2D306A29" w14:textId="708A136D" w:rsidR="00F95C56" w:rsidRDefault="008D52EE" w:rsidP="0014174E">
      <w:pPr>
        <w:ind w:firstLine="708"/>
        <w:jc w:val="both"/>
      </w:pPr>
      <w:r w:rsidRPr="001D2FE9">
        <w:t>Por su parte</w:t>
      </w:r>
      <w:r w:rsidR="00653B10" w:rsidRPr="00850B99">
        <w:t>, Rajan y</w:t>
      </w:r>
      <w:r w:rsidR="001F73DE" w:rsidRPr="00850B99">
        <w:t xml:space="preserve"> Zingales </w:t>
      </w:r>
      <w:sdt>
        <w:sdtPr>
          <w:id w:val="-1584833274"/>
          <w:citation/>
        </w:sdtPr>
        <w:sdtEndPr/>
        <w:sdtContent>
          <w:r w:rsidR="00824E25">
            <w:fldChar w:fldCharType="begin"/>
          </w:r>
          <w:r w:rsidR="00AE6A41">
            <w:rPr>
              <w:lang w:val="es-CO"/>
            </w:rPr>
            <w:instrText xml:space="preserve">CITATION Raj95 \n  \t  \l 9226 </w:instrText>
          </w:r>
          <w:r w:rsidR="00824E25">
            <w:fldChar w:fldCharType="separate"/>
          </w:r>
          <w:r w:rsidR="000A438B" w:rsidRPr="000A438B">
            <w:rPr>
              <w:noProof/>
              <w:lang w:val="es-CO"/>
            </w:rPr>
            <w:t>(1995)</w:t>
          </w:r>
          <w:r w:rsidR="00824E25">
            <w:fldChar w:fldCharType="end"/>
          </w:r>
        </w:sdtContent>
      </w:sdt>
      <w:r w:rsidR="001F73DE" w:rsidRPr="00850B99">
        <w:t xml:space="preserve"> muestran las similitudes que existen en la estructura de capital entre empresas de países desarrollados</w:t>
      </w:r>
      <w:r>
        <w:t>; b</w:t>
      </w:r>
      <w:r w:rsidR="00AA31E7" w:rsidRPr="00850B99">
        <w:t>ásicamente</w:t>
      </w:r>
      <w:r w:rsidR="00AE6A41">
        <w:t>,</w:t>
      </w:r>
      <w:r w:rsidR="00AA31E7" w:rsidRPr="00850B99">
        <w:t xml:space="preserve"> encuentran que</w:t>
      </w:r>
      <w:r>
        <w:t>,</w:t>
      </w:r>
      <w:r w:rsidR="00AA31E7" w:rsidRPr="00850B99">
        <w:t xml:space="preserve"> ante ciertas condiciones de mercado, como </w:t>
      </w:r>
      <w:r w:rsidR="00B34B16" w:rsidRPr="00850B99">
        <w:t>a</w:t>
      </w:r>
      <w:r w:rsidR="00AA31E7" w:rsidRPr="00850B99">
        <w:t>simetría de información</w:t>
      </w:r>
      <w:r>
        <w:t xml:space="preserve"> y</w:t>
      </w:r>
      <w:r w:rsidR="00AA31E7" w:rsidRPr="00850B99">
        <w:t xml:space="preserve"> libre mercado</w:t>
      </w:r>
      <w:r w:rsidR="00AE6A41">
        <w:t>,</w:t>
      </w:r>
      <w:r w:rsidR="00AA31E7" w:rsidRPr="00850B99">
        <w:t xml:space="preserve"> las empresas convergen a niveles cercanos en su endeudamiento</w:t>
      </w:r>
      <w:r>
        <w:t>; e</w:t>
      </w:r>
      <w:r w:rsidR="00AE6A41">
        <w:t>sto</w:t>
      </w:r>
      <w:r w:rsidR="00435F5A" w:rsidRPr="00850B99">
        <w:t xml:space="preserve"> sucede porque los sistemas financieros de los pa</w:t>
      </w:r>
      <w:r w:rsidR="00C3347E">
        <w:t>íses desarrollados son estables</w:t>
      </w:r>
      <w:r w:rsidR="00AE6A41">
        <w:t>,</w:t>
      </w:r>
      <w:r w:rsidR="00435F5A" w:rsidRPr="00850B99">
        <w:t xml:space="preserve"> por </w:t>
      </w:r>
      <w:r w:rsidR="00AE6A41">
        <w:t>tanto</w:t>
      </w:r>
      <w:r w:rsidR="00C3347E">
        <w:t>,</w:t>
      </w:r>
      <w:r w:rsidR="00435F5A" w:rsidRPr="00850B99">
        <w:t xml:space="preserve"> las empresas no tienen necesidad de variar en gran medida su apalancamiento</w:t>
      </w:r>
      <w:r w:rsidR="00AA31E7" w:rsidRPr="00850B99">
        <w:t>. Por</w:t>
      </w:r>
      <w:r w:rsidR="00653B10" w:rsidRPr="00850B99">
        <w:t xml:space="preserve"> otro lado, Baker y</w:t>
      </w:r>
      <w:r w:rsidR="001F73DE" w:rsidRPr="00850B99">
        <w:t xml:space="preserve"> Wurgler </w:t>
      </w:r>
      <w:sdt>
        <w:sdtPr>
          <w:id w:val="-85932556"/>
          <w:citation/>
        </w:sdtPr>
        <w:sdtEndPr/>
        <w:sdtContent>
          <w:r w:rsidR="00824E25">
            <w:fldChar w:fldCharType="begin"/>
          </w:r>
          <w:r w:rsidR="00AE6A41">
            <w:rPr>
              <w:lang w:val="es-CO"/>
            </w:rPr>
            <w:instrText xml:space="preserve">CITATION Bak02 \n  \t  \l 9226 </w:instrText>
          </w:r>
          <w:r w:rsidR="00824E25">
            <w:fldChar w:fldCharType="separate"/>
          </w:r>
          <w:r w:rsidR="000A438B" w:rsidRPr="000A438B">
            <w:rPr>
              <w:noProof/>
              <w:lang w:val="es-CO"/>
            </w:rPr>
            <w:t>(2002)</w:t>
          </w:r>
          <w:r w:rsidR="00824E25">
            <w:fldChar w:fldCharType="end"/>
          </w:r>
        </w:sdtContent>
      </w:sdt>
      <w:r w:rsidR="00B33900" w:rsidRPr="00850B99">
        <w:t xml:space="preserve"> muestran el efecto de oportunidad </w:t>
      </w:r>
      <w:r w:rsidR="001F73DE" w:rsidRPr="00850B99">
        <w:t>en el apalancamiento</w:t>
      </w:r>
      <w:r>
        <w:t xml:space="preserve">, el cual consiste en que </w:t>
      </w:r>
      <w:r w:rsidR="00AA31E7" w:rsidRPr="00850B99">
        <w:t>las empresas aumentan su deuda</w:t>
      </w:r>
      <w:r w:rsidR="00B33900" w:rsidRPr="00850B99">
        <w:t xml:space="preserve"> cuando los precios de sus acci</w:t>
      </w:r>
      <w:r w:rsidR="00AA31E7" w:rsidRPr="00850B99">
        <w:t>ones están más altos</w:t>
      </w:r>
      <w:r w:rsidR="00036FE0">
        <w:t xml:space="preserve"> (relacionado con la teoría del acelerador financiero)</w:t>
      </w:r>
      <w:r>
        <w:t>,</w:t>
      </w:r>
      <w:r w:rsidR="00036FE0">
        <w:t xml:space="preserve"> </w:t>
      </w:r>
      <w:r>
        <w:t xml:space="preserve">para </w:t>
      </w:r>
      <w:r w:rsidR="00AA31E7" w:rsidRPr="00850B99">
        <w:t>así</w:t>
      </w:r>
      <w:r w:rsidR="00B33900" w:rsidRPr="00850B99">
        <w:t xml:space="preserve"> explotar al máximo el</w:t>
      </w:r>
      <w:r w:rsidR="00AA31E7" w:rsidRPr="00850B99">
        <w:t xml:space="preserve"> crecimiento</w:t>
      </w:r>
      <w:r w:rsidR="00AE6A41">
        <w:t xml:space="preserve"> por medio de deuda</w:t>
      </w:r>
      <w:r>
        <w:t xml:space="preserve">, </w:t>
      </w:r>
      <w:r w:rsidR="00AA31E7" w:rsidRPr="00850B99">
        <w:t>es decir</w:t>
      </w:r>
      <w:r w:rsidR="00E52D9A" w:rsidRPr="00850B99">
        <w:t>,</w:t>
      </w:r>
      <w:r w:rsidR="00AA31E7" w:rsidRPr="00850B99">
        <w:t xml:space="preserve"> aprovechan la oportunidad para endeudarse en esos momentos.</w:t>
      </w:r>
      <w:r w:rsidR="00D12CC3" w:rsidRPr="00850B99">
        <w:t xml:space="preserve"> </w:t>
      </w:r>
      <w:r w:rsidR="004A5884" w:rsidRPr="00850B99">
        <w:t xml:space="preserve">De estas dos investigaciones se </w:t>
      </w:r>
      <w:r w:rsidR="00AE6A41">
        <w:t>establece</w:t>
      </w:r>
      <w:r w:rsidR="004A5884" w:rsidRPr="00850B99">
        <w:t xml:space="preserve"> la importancia de evaluar la</w:t>
      </w:r>
      <w:r w:rsidR="00526AA4" w:rsidRPr="00850B99">
        <w:t>s rentabilidades y el tamaño de las compañías.</w:t>
      </w:r>
    </w:p>
    <w:p w14:paraId="37788ADC" w14:textId="77777777" w:rsidR="0014174E" w:rsidRDefault="0014174E" w:rsidP="0014174E">
      <w:pPr>
        <w:ind w:firstLine="708"/>
        <w:jc w:val="both"/>
      </w:pPr>
    </w:p>
    <w:p w14:paraId="0FA159A6" w14:textId="678134D0" w:rsidR="00F95C56" w:rsidRDefault="005F6B61" w:rsidP="0014174E">
      <w:pPr>
        <w:ind w:firstLine="708"/>
        <w:jc w:val="both"/>
      </w:pPr>
      <w:r>
        <w:t>O</w:t>
      </w:r>
      <w:r w:rsidR="00C3347E">
        <w:t>tro</w:t>
      </w:r>
      <w:r>
        <w:t>s</w:t>
      </w:r>
      <w:r w:rsidR="00C3347E">
        <w:t xml:space="preserve"> estudio</w:t>
      </w:r>
      <w:r>
        <w:t>s</w:t>
      </w:r>
      <w:r w:rsidR="00B33900" w:rsidRPr="00850B99">
        <w:t xml:space="preserve"> </w:t>
      </w:r>
      <w:r w:rsidR="00C3347E">
        <w:t xml:space="preserve">que se </w:t>
      </w:r>
      <w:r w:rsidR="00AA31E7" w:rsidRPr="00850B99">
        <w:t>ha</w:t>
      </w:r>
      <w:r>
        <w:t>n</w:t>
      </w:r>
      <w:r w:rsidR="00AA31E7" w:rsidRPr="00850B99">
        <w:t xml:space="preserve"> </w:t>
      </w:r>
      <w:r w:rsidR="00C3347E">
        <w:t xml:space="preserve">enfocado en </w:t>
      </w:r>
      <w:r w:rsidR="00943E8C" w:rsidRPr="00850B99">
        <w:t>explicar el óptimo nivel de apalancamiento en las empresas</w:t>
      </w:r>
      <w:r>
        <w:t xml:space="preserve"> tienen c</w:t>
      </w:r>
      <w:r w:rsidR="00C3347E">
        <w:t xml:space="preserve">omo principal planteamiento </w:t>
      </w:r>
      <w:r w:rsidR="00943E8C" w:rsidRPr="00850B99">
        <w:t xml:space="preserve">la </w:t>
      </w:r>
      <w:r w:rsidR="00D46468">
        <w:t>teoría</w:t>
      </w:r>
      <w:r w:rsidR="00943E8C" w:rsidRPr="00850B99">
        <w:t xml:space="preserve"> del </w:t>
      </w:r>
      <w:r w:rsidR="00943E8C" w:rsidRPr="577BF0F5">
        <w:rPr>
          <w:i/>
          <w:iCs/>
        </w:rPr>
        <w:t>trade off,</w:t>
      </w:r>
      <w:r w:rsidR="00943E8C" w:rsidRPr="00850B99">
        <w:t xml:space="preserve"> </w:t>
      </w:r>
      <w:r w:rsidR="0010732D">
        <w:t>cuya introducción</w:t>
      </w:r>
      <w:r w:rsidR="00526AA4" w:rsidRPr="00850B99">
        <w:t xml:space="preserve"> por Ross</w:t>
      </w:r>
      <w:r w:rsidR="0010732D">
        <w:t xml:space="preserve"> </w:t>
      </w:r>
      <w:sdt>
        <w:sdtPr>
          <w:id w:val="234666987"/>
          <w:citation/>
        </w:sdtPr>
        <w:sdtEndPr/>
        <w:sdtContent>
          <w:r w:rsidR="00824E25">
            <w:fldChar w:fldCharType="begin"/>
          </w:r>
          <w:r w:rsidR="0010732D">
            <w:rPr>
              <w:lang w:val="es-CO"/>
            </w:rPr>
            <w:instrText xml:space="preserve">CITATION Ros77 \n  \t  \l 9226 </w:instrText>
          </w:r>
          <w:r w:rsidR="00824E25">
            <w:fldChar w:fldCharType="separate"/>
          </w:r>
          <w:r w:rsidR="000A438B" w:rsidRPr="000A438B">
            <w:rPr>
              <w:noProof/>
              <w:lang w:val="es-CO"/>
            </w:rPr>
            <w:t>(1977)</w:t>
          </w:r>
          <w:r w:rsidR="00824E25">
            <w:fldChar w:fldCharType="end"/>
          </w:r>
        </w:sdtContent>
      </w:sdt>
      <w:r w:rsidR="00526AA4" w:rsidRPr="00850B99">
        <w:t xml:space="preserve"> muestra</w:t>
      </w:r>
      <w:r w:rsidR="00943E8C" w:rsidRPr="00850B99">
        <w:t xml:space="preserve"> la posibilidad de </w:t>
      </w:r>
      <w:r w:rsidR="00526AA4" w:rsidRPr="00850B99">
        <w:t xml:space="preserve">obtener </w:t>
      </w:r>
      <w:r w:rsidR="00943E8C" w:rsidRPr="00850B99">
        <w:t>un ó</w:t>
      </w:r>
      <w:r w:rsidR="00C3347E">
        <w:t>ptimo cuando la relación deuda-</w:t>
      </w:r>
      <w:r w:rsidR="00943E8C" w:rsidRPr="00850B99">
        <w:t xml:space="preserve">capital </w:t>
      </w:r>
      <w:r w:rsidR="00D46468">
        <w:lastRenderedPageBreak/>
        <w:t xml:space="preserve">lleve a </w:t>
      </w:r>
      <w:r w:rsidR="00943E8C" w:rsidRPr="00850B99">
        <w:t>maximiza</w:t>
      </w:r>
      <w:r w:rsidR="00D46468">
        <w:t>r</w:t>
      </w:r>
      <w:r w:rsidR="00943E8C" w:rsidRPr="00850B99">
        <w:t xml:space="preserve"> el valor de la </w:t>
      </w:r>
      <w:r w:rsidR="00D46468">
        <w:t>firma</w:t>
      </w:r>
      <w:r w:rsidR="00943E8C" w:rsidRPr="00850B99">
        <w:t xml:space="preserve"> en el mercado y</w:t>
      </w:r>
      <w:r w:rsidR="00C3347E">
        <w:t>,</w:t>
      </w:r>
      <w:r w:rsidR="00943E8C" w:rsidRPr="00850B99">
        <w:t xml:space="preserve"> a su vez</w:t>
      </w:r>
      <w:r w:rsidR="00C3347E">
        <w:t>,</w:t>
      </w:r>
      <w:r w:rsidR="00943E8C" w:rsidRPr="00850B99">
        <w:t xml:space="preserve"> minim</w:t>
      </w:r>
      <w:r w:rsidR="00C3347E">
        <w:t>iza el costo de la deuda,</w:t>
      </w:r>
      <w:r w:rsidR="00943E8C" w:rsidRPr="00850B99">
        <w:t xml:space="preserve"> </w:t>
      </w:r>
      <w:r>
        <w:t xml:space="preserve">o </w:t>
      </w:r>
      <w:r w:rsidR="00943E8C" w:rsidRPr="00850B99">
        <w:t xml:space="preserve">la teoría </w:t>
      </w:r>
      <w:r w:rsidR="00811553" w:rsidRPr="00850B99">
        <w:t xml:space="preserve">del </w:t>
      </w:r>
      <w:r w:rsidR="00811553" w:rsidRPr="577BF0F5">
        <w:rPr>
          <w:i/>
          <w:iCs/>
        </w:rPr>
        <w:t>pecking order</w:t>
      </w:r>
      <w:r w:rsidR="00811553" w:rsidRPr="00850B99">
        <w:t xml:space="preserve">, </w:t>
      </w:r>
      <w:r w:rsidR="00C3347E">
        <w:t xml:space="preserve">que </w:t>
      </w:r>
      <w:r w:rsidR="00AA31E7" w:rsidRPr="00850B99">
        <w:t xml:space="preserve">consiste en un orden jerárquico que prefieren las empresas al momento de </w:t>
      </w:r>
      <w:r w:rsidR="00C3347E">
        <w:t>financiar</w:t>
      </w:r>
      <w:r w:rsidR="00AA31E7" w:rsidRPr="00850B99">
        <w:t>se.</w:t>
      </w:r>
    </w:p>
    <w:p w14:paraId="6EA52F6A" w14:textId="77777777" w:rsidR="0014174E" w:rsidRDefault="0014174E" w:rsidP="0014174E">
      <w:pPr>
        <w:ind w:firstLine="708"/>
        <w:jc w:val="both"/>
      </w:pPr>
    </w:p>
    <w:p w14:paraId="56E493E1" w14:textId="4EFB9009" w:rsidR="00F95C56" w:rsidRDefault="001F73DE" w:rsidP="0014174E">
      <w:pPr>
        <w:ind w:firstLine="708"/>
        <w:jc w:val="both"/>
      </w:pPr>
      <w:r w:rsidRPr="00850B99">
        <w:t>En el caso de Latinoamérica,</w:t>
      </w:r>
      <w:r w:rsidR="00653B10" w:rsidRPr="00850B99">
        <w:t xml:space="preserve"> </w:t>
      </w:r>
      <w:r w:rsidR="00711C5A" w:rsidRPr="00850B99">
        <w:t>trabajo</w:t>
      </w:r>
      <w:r w:rsidR="00C3347E">
        <w:t>s como los</w:t>
      </w:r>
      <w:r w:rsidR="00711C5A" w:rsidRPr="00850B99">
        <w:t xml:space="preserve"> de</w:t>
      </w:r>
      <w:r w:rsidRPr="00850B99">
        <w:t xml:space="preserve"> Céspedes</w:t>
      </w:r>
      <w:r w:rsidR="0010732D">
        <w:t xml:space="preserve">, González y Molina </w:t>
      </w:r>
      <w:sdt>
        <w:sdtPr>
          <w:id w:val="-1466192711"/>
          <w:citation/>
        </w:sdtPr>
        <w:sdtEndPr/>
        <w:sdtContent>
          <w:r w:rsidR="00824E25">
            <w:fldChar w:fldCharType="begin"/>
          </w:r>
          <w:r w:rsidR="0010732D">
            <w:rPr>
              <w:lang w:val="es-CO"/>
            </w:rPr>
            <w:instrText xml:space="preserve">CITATION Cés10 \n  \t  \l 9226 </w:instrText>
          </w:r>
          <w:r w:rsidR="00824E25">
            <w:fldChar w:fldCharType="separate"/>
          </w:r>
          <w:r w:rsidR="000A438B" w:rsidRPr="000A438B">
            <w:rPr>
              <w:noProof/>
              <w:lang w:val="es-CO"/>
            </w:rPr>
            <w:t>(2010)</w:t>
          </w:r>
          <w:r w:rsidR="00824E25">
            <w:fldChar w:fldCharType="end"/>
          </w:r>
        </w:sdtContent>
      </w:sdt>
      <w:r w:rsidR="00711C5A" w:rsidRPr="00850B99">
        <w:t xml:space="preserve"> </w:t>
      </w:r>
      <w:r w:rsidR="00D46468">
        <w:t xml:space="preserve">observan la existencia de </w:t>
      </w:r>
      <w:r w:rsidRPr="00850B99">
        <w:t>una relación negativa entre el apalancamiento y la concentración de la propiedad</w:t>
      </w:r>
      <w:r w:rsidR="00600E64">
        <w:t>; es</w:t>
      </w:r>
      <w:r w:rsidR="00711C5A" w:rsidRPr="00850B99">
        <w:t xml:space="preserve"> decir</w:t>
      </w:r>
      <w:r w:rsidR="00C3347E">
        <w:t>,</w:t>
      </w:r>
      <w:r w:rsidR="00711C5A" w:rsidRPr="00850B99">
        <w:t xml:space="preserve"> las empresas que tienen mayores activos fijos suelen emitir menos deuda para evitar perder el control de </w:t>
      </w:r>
      <w:r w:rsidR="00600E64">
        <w:t>ellas mismas</w:t>
      </w:r>
      <w:r w:rsidR="00711C5A" w:rsidRPr="00850B99">
        <w:t>.</w:t>
      </w:r>
      <w:r w:rsidRPr="00850B99">
        <w:t xml:space="preserve"> </w:t>
      </w:r>
      <w:r w:rsidR="00E800BC" w:rsidRPr="00850B99">
        <w:t xml:space="preserve">El sentido </w:t>
      </w:r>
      <w:r w:rsidR="00653B10" w:rsidRPr="00850B99">
        <w:t>económico de dicho argumento</w:t>
      </w:r>
      <w:r w:rsidR="00E800BC" w:rsidRPr="00850B99">
        <w:t xml:space="preserve"> está en que </w:t>
      </w:r>
      <w:r w:rsidR="00BE6A68">
        <w:t>cuanta</w:t>
      </w:r>
      <w:r w:rsidR="00E800BC" w:rsidRPr="00850B99">
        <w:t xml:space="preserve"> más deuda emitan las empresas, menor autonomía tienen sobre </w:t>
      </w:r>
      <w:r w:rsidR="00600E64">
        <w:t xml:space="preserve">sus </w:t>
      </w:r>
      <w:r w:rsidR="00E800BC" w:rsidRPr="00850B99">
        <w:t>decisiones.</w:t>
      </w:r>
      <w:r w:rsidR="00C3347E">
        <w:t xml:space="preserve"> La investigación lleva a definir como variables de referencia </w:t>
      </w:r>
      <w:r w:rsidR="00600E64">
        <w:t xml:space="preserve">el </w:t>
      </w:r>
      <w:r w:rsidR="00C3347E">
        <w:t xml:space="preserve">valor de los activos y </w:t>
      </w:r>
      <w:r w:rsidR="008456A8">
        <w:t xml:space="preserve">la Razón Precio Utilidad </w:t>
      </w:r>
      <w:r w:rsidR="00600E64" w:rsidRPr="00850B99">
        <w:t xml:space="preserve"> </w:t>
      </w:r>
      <w:r w:rsidR="008456A8">
        <w:t>(</w:t>
      </w:r>
      <w:r w:rsidR="0010732D" w:rsidRPr="577BF0F5">
        <w:rPr>
          <w:i/>
          <w:iCs/>
        </w:rPr>
        <w:t>Price Earnings R</w:t>
      </w:r>
      <w:r w:rsidR="00526AA4" w:rsidRPr="577BF0F5">
        <w:rPr>
          <w:i/>
          <w:iCs/>
        </w:rPr>
        <w:t>atio</w:t>
      </w:r>
      <w:r w:rsidR="008456A8">
        <w:t xml:space="preserve"> - </w:t>
      </w:r>
      <w:r w:rsidR="008456A8">
        <w:rPr>
          <w:i/>
        </w:rPr>
        <w:t>PER</w:t>
      </w:r>
      <w:r w:rsidR="00C3347E">
        <w:t>)</w:t>
      </w:r>
      <w:r w:rsidR="00526AA4" w:rsidRPr="00850B99">
        <w:t>.</w:t>
      </w:r>
    </w:p>
    <w:p w14:paraId="5F3F9C6C" w14:textId="77777777" w:rsidR="0014174E" w:rsidRDefault="0014174E" w:rsidP="0014174E">
      <w:pPr>
        <w:ind w:firstLine="708"/>
        <w:jc w:val="both"/>
      </w:pPr>
    </w:p>
    <w:p w14:paraId="0D2A4514" w14:textId="072E7A86" w:rsidR="00F95C56" w:rsidRDefault="005E144B" w:rsidP="0014174E">
      <w:pPr>
        <w:ind w:firstLine="708"/>
        <w:jc w:val="both"/>
      </w:pPr>
      <w:r w:rsidRPr="00850B99">
        <w:t>Virgen y Rivera</w:t>
      </w:r>
      <w:r w:rsidR="0010732D">
        <w:t xml:space="preserve"> </w:t>
      </w:r>
      <w:sdt>
        <w:sdtPr>
          <w:id w:val="1439486358"/>
          <w:citation/>
        </w:sdtPr>
        <w:sdtEndPr/>
        <w:sdtContent>
          <w:r w:rsidR="00824E25">
            <w:fldChar w:fldCharType="begin"/>
          </w:r>
          <w:r w:rsidR="0010732D">
            <w:rPr>
              <w:lang w:val="es-CO"/>
            </w:rPr>
            <w:instrText xml:space="preserve">CITATION Vir12 \n  \t  \l 9226 </w:instrText>
          </w:r>
          <w:r w:rsidR="00824E25">
            <w:fldChar w:fldCharType="separate"/>
          </w:r>
          <w:r w:rsidR="000A438B" w:rsidRPr="000A438B">
            <w:rPr>
              <w:noProof/>
              <w:lang w:val="es-CO"/>
            </w:rPr>
            <w:t>(2012)</w:t>
          </w:r>
          <w:r w:rsidR="00824E25">
            <w:fldChar w:fldCharType="end"/>
          </w:r>
        </w:sdtContent>
      </w:sdt>
      <w:r w:rsidR="00653B10" w:rsidRPr="00850B99">
        <w:t xml:space="preserve"> </w:t>
      </w:r>
      <w:r w:rsidRPr="00850B99">
        <w:t>encontraron algunos aspectos</w:t>
      </w:r>
      <w:r w:rsidR="00D46468">
        <w:t xml:space="preserve"> financieros que </w:t>
      </w:r>
      <w:r w:rsidRPr="00850B99">
        <w:t xml:space="preserve"> la estructura de capital en empresas colombianas</w:t>
      </w:r>
      <w:r w:rsidR="00774A0C">
        <w:t xml:space="preserve"> del</w:t>
      </w:r>
      <w:r w:rsidRPr="00850B99">
        <w:t xml:space="preserve"> sector de cosméticos y aseo</w:t>
      </w:r>
      <w:r w:rsidR="00774A0C">
        <w:t xml:space="preserve">; lo </w:t>
      </w:r>
      <w:r w:rsidRPr="00850B99">
        <w:t xml:space="preserve">más importante </w:t>
      </w:r>
      <w:r w:rsidR="00774A0C">
        <w:t xml:space="preserve">que concluyó </w:t>
      </w:r>
      <w:r w:rsidRPr="00850B99">
        <w:t xml:space="preserve">esta investigación es que </w:t>
      </w:r>
      <w:r w:rsidR="00824E25" w:rsidRPr="00F42067">
        <w:t xml:space="preserve">la rentabilidad </w:t>
      </w:r>
      <w:r w:rsidR="00824E25" w:rsidRPr="00FC1E83">
        <w:t>y el costo de la deuda disminuyen los niveles de apalancamiento de las empresas</w:t>
      </w:r>
      <w:r w:rsidR="00912D31">
        <w:t>; esto</w:t>
      </w:r>
      <w:r w:rsidRPr="00850B99">
        <w:t xml:space="preserve"> es </w:t>
      </w:r>
      <w:r w:rsidR="00E52D9A" w:rsidRPr="00850B99">
        <w:t>fundamental</w:t>
      </w:r>
      <w:r w:rsidR="00C3347E">
        <w:t>,</w:t>
      </w:r>
      <w:r w:rsidR="00E52D9A" w:rsidRPr="00850B99">
        <w:t xml:space="preserve"> </w:t>
      </w:r>
      <w:r w:rsidR="00912D31">
        <w:t xml:space="preserve">pues </w:t>
      </w:r>
      <w:r w:rsidR="00CD4FE0" w:rsidRPr="00850B99">
        <w:t>brinda</w:t>
      </w:r>
      <w:r w:rsidRPr="00850B99">
        <w:t xml:space="preserve"> indicios de que lo ideal es hacer una separación de las empresas por sectores o</w:t>
      </w:r>
      <w:r w:rsidR="00912D31">
        <w:t>,</w:t>
      </w:r>
      <w:r w:rsidRPr="00850B99">
        <w:t xml:space="preserve"> incluso</w:t>
      </w:r>
      <w:r w:rsidR="00912D31">
        <w:t>,</w:t>
      </w:r>
      <w:r w:rsidRPr="00850B99">
        <w:t xml:space="preserve"> por crisis sectorial</w:t>
      </w:r>
      <w:r w:rsidR="00E52D9A" w:rsidRPr="00850B99">
        <w:t>,</w:t>
      </w:r>
      <w:r w:rsidR="00C3347E">
        <w:t xml:space="preserve"> debido a</w:t>
      </w:r>
      <w:r w:rsidRPr="00850B99">
        <w:t xml:space="preserve"> </w:t>
      </w:r>
      <w:r w:rsidR="0008199F" w:rsidRPr="00850B99">
        <w:t>que</w:t>
      </w:r>
      <w:r w:rsidR="00912D31">
        <w:t>,</w:t>
      </w:r>
      <w:r w:rsidR="0008199F" w:rsidRPr="00850B99">
        <w:t xml:space="preserve"> </w:t>
      </w:r>
      <w:r w:rsidRPr="00850B99">
        <w:t>probablemente</w:t>
      </w:r>
      <w:r w:rsidR="00912D31">
        <w:t>,</w:t>
      </w:r>
      <w:r w:rsidRPr="00850B99">
        <w:t xml:space="preserve"> una crisis financiera no afecta a todos los sectores de la economía por igual</w:t>
      </w:r>
      <w:r w:rsidR="00D2771C">
        <w:t>.</w:t>
      </w:r>
      <w:r w:rsidR="00874AD5">
        <w:t xml:space="preserve"> </w:t>
      </w:r>
      <w:r w:rsidR="00D2771C">
        <w:t>A</w:t>
      </w:r>
      <w:r w:rsidR="00526AA4" w:rsidRPr="00850B99">
        <w:t xml:space="preserve"> raíz de </w:t>
      </w:r>
      <w:r w:rsidR="00D2771C">
        <w:t>este hallazgo,</w:t>
      </w:r>
      <w:r w:rsidR="00526AA4" w:rsidRPr="00850B99">
        <w:t xml:space="preserve"> se evalúa el efecto de los sectores económicos sobre las empresas.</w:t>
      </w:r>
    </w:p>
    <w:p w14:paraId="3E116062" w14:textId="77777777" w:rsidR="0014174E" w:rsidRDefault="0014174E" w:rsidP="0014174E">
      <w:pPr>
        <w:ind w:firstLine="708"/>
        <w:jc w:val="both"/>
      </w:pPr>
    </w:p>
    <w:p w14:paraId="48E33349" w14:textId="4AAC28B2" w:rsidR="00F95C56" w:rsidRDefault="005E144B" w:rsidP="0014174E">
      <w:pPr>
        <w:ind w:firstLine="708"/>
        <w:jc w:val="both"/>
      </w:pPr>
      <w:r w:rsidRPr="00850B99">
        <w:t>T</w:t>
      </w:r>
      <w:r w:rsidR="00D2771C">
        <w:t xml:space="preserve">enjo, López y Zamudio </w:t>
      </w:r>
      <w:sdt>
        <w:sdtPr>
          <w:id w:val="1883977322"/>
          <w:citation/>
        </w:sdtPr>
        <w:sdtEndPr/>
        <w:sdtContent>
          <w:r w:rsidR="00824E25">
            <w:fldChar w:fldCharType="begin"/>
          </w:r>
          <w:r w:rsidR="00D2771C">
            <w:rPr>
              <w:lang w:val="es-CO"/>
            </w:rPr>
            <w:instrText xml:space="preserve">CITATION Ten06 \n  \t  \l 9226 </w:instrText>
          </w:r>
          <w:r w:rsidR="00824E25">
            <w:fldChar w:fldCharType="separate"/>
          </w:r>
          <w:r w:rsidR="000A438B" w:rsidRPr="000A438B">
            <w:rPr>
              <w:noProof/>
              <w:lang w:val="es-CO"/>
            </w:rPr>
            <w:t>(2006)</w:t>
          </w:r>
          <w:r w:rsidR="00824E25">
            <w:fldChar w:fldCharType="end"/>
          </w:r>
        </w:sdtContent>
      </w:sdt>
      <w:r w:rsidR="008456A8">
        <w:t>, por su parte,</w:t>
      </w:r>
      <w:r w:rsidR="00461B3D">
        <w:t xml:space="preserve"> encontraron</w:t>
      </w:r>
      <w:r w:rsidR="00D240E3" w:rsidRPr="00850B99">
        <w:t xml:space="preserve"> </w:t>
      </w:r>
      <w:r w:rsidR="000A3E0C">
        <w:t xml:space="preserve">una </w:t>
      </w:r>
      <w:r w:rsidR="0060733F">
        <w:t xml:space="preserve">relación </w:t>
      </w:r>
      <w:r w:rsidR="00F16DC0">
        <w:t>negativa</w:t>
      </w:r>
      <w:r w:rsidR="00F822B9" w:rsidRPr="00850B99">
        <w:t xml:space="preserve"> </w:t>
      </w:r>
      <w:r w:rsidR="000A3E0C">
        <w:t>entre e</w:t>
      </w:r>
      <w:r w:rsidR="00F822B9" w:rsidRPr="00850B99">
        <w:t xml:space="preserve">l apalancamiento de las empresas colombianas </w:t>
      </w:r>
      <w:r w:rsidR="000A3E0C">
        <w:t>y la aparición de</w:t>
      </w:r>
      <w:r w:rsidR="00F822B9" w:rsidRPr="00850B99">
        <w:t xml:space="preserve"> la crisis que vivió el país en los años 1998-1999</w:t>
      </w:r>
      <w:r w:rsidR="00912D31">
        <w:t xml:space="preserve">; este </w:t>
      </w:r>
      <w:r w:rsidR="00E800BC" w:rsidRPr="00850B99">
        <w:t>trabajo es uno de los más relevantes</w:t>
      </w:r>
      <w:r w:rsidR="000142D9">
        <w:t>,</w:t>
      </w:r>
      <w:r w:rsidR="00E800BC" w:rsidRPr="00850B99">
        <w:t xml:space="preserve"> </w:t>
      </w:r>
      <w:r w:rsidR="00912D31">
        <w:t xml:space="preserve">dado </w:t>
      </w:r>
      <w:r w:rsidR="00E800BC" w:rsidRPr="00850B99">
        <w:t xml:space="preserve">que permite evidenciar algunos de los mecanismos que afectan a las empresas en épocas de crisis financieras. Algunos de estos mecanismos son el costo de </w:t>
      </w:r>
      <w:r w:rsidR="00912D31">
        <w:t xml:space="preserve">la </w:t>
      </w:r>
      <w:r w:rsidR="00E800BC" w:rsidRPr="00850B99">
        <w:t>deuda y el costo del patrimonio, que en época de crisis pueden llegar a aumentar</w:t>
      </w:r>
      <w:r w:rsidR="008456A8">
        <w:t xml:space="preserve"> (en Bernanke </w:t>
      </w:r>
      <w:r w:rsidR="008456A8">
        <w:rPr>
          <w:i/>
        </w:rPr>
        <w:t xml:space="preserve">et al. </w:t>
      </w:r>
      <w:r w:rsidR="008456A8">
        <w:t>(1999) esto ocurre por la reducción en los precios de los activos)</w:t>
      </w:r>
      <w:r w:rsidR="00E800BC" w:rsidRPr="00850B99">
        <w:t xml:space="preserve">. </w:t>
      </w:r>
      <w:r w:rsidR="00526AA4" w:rsidRPr="00850B99">
        <w:t xml:space="preserve">Así pues, en esta investigación se evalúan </w:t>
      </w:r>
      <w:r w:rsidR="003D1A56">
        <w:t xml:space="preserve">otros </w:t>
      </w:r>
      <w:r w:rsidR="00526AA4" w:rsidRPr="00850B99">
        <w:t xml:space="preserve">aspectos macroeconómicos </w:t>
      </w:r>
      <w:r w:rsidR="003D1A56">
        <w:t>pa</w:t>
      </w:r>
      <w:r w:rsidR="00526AA4" w:rsidRPr="00850B99">
        <w:t xml:space="preserve">ra </w:t>
      </w:r>
      <w:r w:rsidR="003D1A56">
        <w:t xml:space="preserve">identificar </w:t>
      </w:r>
      <w:r w:rsidR="00526AA4" w:rsidRPr="00850B99">
        <w:t>los efectos en el apalancamiento de las empresas.</w:t>
      </w:r>
    </w:p>
    <w:p w14:paraId="6F009185" w14:textId="77777777" w:rsidR="0014174E" w:rsidRDefault="0014174E" w:rsidP="0014174E">
      <w:pPr>
        <w:ind w:firstLine="708"/>
        <w:jc w:val="both"/>
      </w:pPr>
    </w:p>
    <w:p w14:paraId="3944EF2A" w14:textId="0761A2C4" w:rsidR="00F95C56" w:rsidRDefault="00D12CC3" w:rsidP="008456A8">
      <w:pPr>
        <w:ind w:firstLine="708"/>
        <w:jc w:val="both"/>
      </w:pPr>
      <w:r w:rsidRPr="00850B99">
        <w:t xml:space="preserve">Lo importante </w:t>
      </w:r>
      <w:r w:rsidR="000142D9">
        <w:t>de los</w:t>
      </w:r>
      <w:r w:rsidR="00526AA4" w:rsidRPr="00850B99">
        <w:t xml:space="preserve"> estudios </w:t>
      </w:r>
      <w:r w:rsidR="000142D9">
        <w:t xml:space="preserve">señalados </w:t>
      </w:r>
      <w:r w:rsidR="00526AA4" w:rsidRPr="00850B99">
        <w:t xml:space="preserve">es </w:t>
      </w:r>
      <w:r w:rsidR="00005C32">
        <w:t>que aún no existe</w:t>
      </w:r>
      <w:r w:rsidRPr="00850B99">
        <w:t xml:space="preserve"> convergencia teórica con respecto a los determinan</w:t>
      </w:r>
      <w:r w:rsidR="00526AA4" w:rsidRPr="00850B99">
        <w:t xml:space="preserve">tes del apalancamiento, pero </w:t>
      </w:r>
      <w:r w:rsidR="00D2771C">
        <w:t>se ha</w:t>
      </w:r>
      <w:r w:rsidR="000142D9">
        <w:t xml:space="preserve"> encontrado cierta evidencia</w:t>
      </w:r>
      <w:r w:rsidRPr="00850B99">
        <w:t xml:space="preserve"> en diferentes ámbitos financieros</w:t>
      </w:r>
      <w:r w:rsidR="00E52D9A" w:rsidRPr="00850B99">
        <w:t>.</w:t>
      </w:r>
      <w:r w:rsidRPr="00850B99">
        <w:t xml:space="preserve"> </w:t>
      </w:r>
      <w:r w:rsidR="000A3E0C">
        <w:t xml:space="preserve">De hecho, el artículo con mayor relación con el </w:t>
      </w:r>
      <w:r w:rsidR="000142D9">
        <w:t xml:space="preserve">objetivo del presente </w:t>
      </w:r>
      <w:r w:rsidR="000A3E0C">
        <w:t xml:space="preserve">documento </w:t>
      </w:r>
      <w:r w:rsidR="000142D9">
        <w:t xml:space="preserve">es el </w:t>
      </w:r>
      <w:r w:rsidR="00D2771C">
        <w:t>de</w:t>
      </w:r>
      <w:r w:rsidR="00526AA4" w:rsidRPr="577BF0F5">
        <w:t xml:space="preserve"> </w:t>
      </w:r>
      <w:r w:rsidR="00540656" w:rsidRPr="577BF0F5">
        <w:t xml:space="preserve">Niu </w:t>
      </w:r>
      <w:sdt>
        <w:sdtPr>
          <w:rPr>
            <w:iCs/>
          </w:rPr>
          <w:id w:val="538711786"/>
          <w:citation/>
        </w:sdtPr>
        <w:sdtEndPr/>
        <w:sdtContent>
          <w:r w:rsidR="00824E25">
            <w:rPr>
              <w:iCs/>
            </w:rPr>
            <w:fldChar w:fldCharType="begin"/>
          </w:r>
          <w:r w:rsidR="000A371F">
            <w:rPr>
              <w:iCs/>
              <w:lang w:val="es-CO"/>
            </w:rPr>
            <w:instrText xml:space="preserve">CITATION Xia08 \n  \t  \l 9226 </w:instrText>
          </w:r>
          <w:r w:rsidR="00824E25">
            <w:rPr>
              <w:iCs/>
            </w:rPr>
            <w:fldChar w:fldCharType="separate"/>
          </w:r>
          <w:r w:rsidR="000A438B" w:rsidRPr="000A438B">
            <w:rPr>
              <w:noProof/>
              <w:lang w:val="es-CO"/>
            </w:rPr>
            <w:t>(2008)</w:t>
          </w:r>
          <w:r w:rsidR="00824E25">
            <w:rPr>
              <w:iCs/>
            </w:rPr>
            <w:fldChar w:fldCharType="end"/>
          </w:r>
        </w:sdtContent>
      </w:sdt>
      <w:r w:rsidR="000A371F" w:rsidRPr="577BF0F5">
        <w:t xml:space="preserve">, </w:t>
      </w:r>
      <w:r w:rsidR="00540656" w:rsidRPr="577BF0F5">
        <w:t xml:space="preserve">quien hace una investigación </w:t>
      </w:r>
      <w:r w:rsidR="00D2771C" w:rsidRPr="577BF0F5">
        <w:t>con</w:t>
      </w:r>
      <w:r w:rsidR="00540656" w:rsidRPr="577BF0F5">
        <w:t xml:space="preserve"> múltiples determinantes</w:t>
      </w:r>
      <w:r w:rsidR="00D2771C" w:rsidRPr="577BF0F5">
        <w:t xml:space="preserve"> del apalancamiento empresarial</w:t>
      </w:r>
      <w:r w:rsidR="000A3E0C">
        <w:t>, y</w:t>
      </w:r>
      <w:r w:rsidR="000F0E73" w:rsidRPr="577BF0F5">
        <w:t xml:space="preserve"> con </w:t>
      </w:r>
      <w:r w:rsidR="00540656" w:rsidRPr="577BF0F5">
        <w:t>base en este estudio</w:t>
      </w:r>
      <w:r w:rsidR="00D2771C" w:rsidRPr="577BF0F5">
        <w:t xml:space="preserve"> </w:t>
      </w:r>
      <w:r w:rsidR="00540656" w:rsidRPr="577BF0F5">
        <w:t xml:space="preserve">se </w:t>
      </w:r>
      <w:r w:rsidR="000142D9" w:rsidRPr="577BF0F5">
        <w:t>seleccionar</w:t>
      </w:r>
      <w:r w:rsidR="00540656" w:rsidRPr="577BF0F5">
        <w:t>on las variables</w:t>
      </w:r>
      <w:r w:rsidR="000A3E0C">
        <w:t xml:space="preserve"> explicativas</w:t>
      </w:r>
      <w:r w:rsidR="00540656" w:rsidRPr="577BF0F5">
        <w:t>.</w:t>
      </w:r>
      <w:r w:rsidR="008456A8">
        <w:t xml:space="preserve"> </w:t>
      </w:r>
      <w:r w:rsidR="577BF0F5">
        <w:t>Por consiguiente, al buscar un p</w:t>
      </w:r>
      <w:r w:rsidR="008456A8">
        <w:t>osible efecto de aspectos macroeconómicos</w:t>
      </w:r>
      <w:r w:rsidR="577BF0F5">
        <w:t xml:space="preserve"> y </w:t>
      </w:r>
      <w:r w:rsidR="008456A8">
        <w:t xml:space="preserve">asociados a las firmas </w:t>
      </w:r>
      <w:r w:rsidR="577BF0F5">
        <w:t xml:space="preserve">sobre el apalancamiento de empresas colombianas y argentinas se encuentra una diferencia entre investigaciones pasadas, pues en unas la elección del nivel de apalancamiento se explica por razones internas de las empresas, tal como se hace en Céspedes </w:t>
      </w:r>
      <w:r w:rsidR="577BF0F5" w:rsidRPr="577BF0F5">
        <w:rPr>
          <w:i/>
          <w:iCs/>
        </w:rPr>
        <w:t xml:space="preserve">et al. </w:t>
      </w:r>
      <w:r w:rsidR="577BF0F5">
        <w:t xml:space="preserve"> (2010), y en otras por razones externas, como en Tenjo </w:t>
      </w:r>
      <w:r w:rsidR="577BF0F5" w:rsidRPr="577BF0F5">
        <w:rPr>
          <w:i/>
          <w:iCs/>
        </w:rPr>
        <w:t xml:space="preserve">et al. </w:t>
      </w:r>
      <w:r w:rsidR="577BF0F5">
        <w:t xml:space="preserve"> (2006). </w:t>
      </w:r>
    </w:p>
    <w:p w14:paraId="2497E7D7" w14:textId="77777777" w:rsidR="00F95C56" w:rsidRDefault="00F95C56" w:rsidP="0014174E">
      <w:pPr>
        <w:jc w:val="both"/>
        <w:rPr>
          <w:b/>
        </w:rPr>
      </w:pPr>
    </w:p>
    <w:p w14:paraId="72A5E4D1" w14:textId="211C104F" w:rsidR="00F95C56" w:rsidRPr="006C3194" w:rsidRDefault="006C3194" w:rsidP="0014174E">
      <w:pPr>
        <w:pStyle w:val="Prrafodelista"/>
        <w:numPr>
          <w:ilvl w:val="0"/>
          <w:numId w:val="10"/>
        </w:numPr>
        <w:jc w:val="center"/>
        <w:rPr>
          <w:b/>
          <w:bCs/>
        </w:rPr>
      </w:pPr>
      <w:r w:rsidRPr="006C3194">
        <w:rPr>
          <w:b/>
          <w:bCs/>
        </w:rPr>
        <w:t>METODOLOGÍA</w:t>
      </w:r>
    </w:p>
    <w:p w14:paraId="61480B3A" w14:textId="77777777" w:rsidR="00F95C56" w:rsidRDefault="00F95C56" w:rsidP="0014174E">
      <w:pPr>
        <w:ind w:firstLine="708"/>
        <w:jc w:val="both"/>
      </w:pPr>
    </w:p>
    <w:p w14:paraId="23E3A017" w14:textId="4FAC5D64" w:rsidR="00F95C56" w:rsidRDefault="577BF0F5" w:rsidP="0014174E">
      <w:pPr>
        <w:ind w:firstLine="708"/>
        <w:jc w:val="both"/>
      </w:pPr>
      <w:r>
        <w:t xml:space="preserve">Se propone la estimación de un modelo econométrico que utiliza variables en diferentes niveles; en primer lugar, las características de la empresa; en segundo, las de los sectores económicos, y en tercero, las del país. Todas las variables tienen un sustento en la </w:t>
      </w:r>
      <w:r>
        <w:lastRenderedPageBreak/>
        <w:t xml:space="preserve">literatura, ya sea porque han sido utilizadas en investigaciones anteriores o porque son las que se pretenden evaluar, como es el caso de las variables proxies de </w:t>
      </w:r>
      <w:r w:rsidR="002F1EF7">
        <w:t>estabilidad</w:t>
      </w:r>
      <w:r>
        <w:t xml:space="preserve"> financiera. La descripción de las variables se encuentra en la Tabla 1. </w:t>
      </w:r>
    </w:p>
    <w:p w14:paraId="6E815B09" w14:textId="77777777" w:rsidR="00F95C56" w:rsidRDefault="00F95C56" w:rsidP="0014174E">
      <w:pPr>
        <w:ind w:firstLine="708"/>
        <w:jc w:val="both"/>
      </w:pPr>
    </w:p>
    <w:p w14:paraId="738E4973" w14:textId="77777777" w:rsidR="00F95C56" w:rsidRDefault="00F95C56" w:rsidP="0014174E">
      <w:pPr>
        <w:ind w:firstLine="708"/>
        <w:jc w:val="both"/>
      </w:pPr>
    </w:p>
    <w:p w14:paraId="34A4B13F" w14:textId="77777777" w:rsidR="00F95C56" w:rsidRDefault="577BF0F5" w:rsidP="007A272B">
      <w:pPr>
        <w:jc w:val="center"/>
        <w:outlineLvl w:val="0"/>
        <w:rPr>
          <w:b/>
          <w:bCs/>
        </w:rPr>
      </w:pPr>
      <w:r w:rsidRPr="577BF0F5">
        <w:rPr>
          <w:b/>
          <w:bCs/>
        </w:rPr>
        <w:t>Tabla 1. Descripción de las variables</w:t>
      </w:r>
    </w:p>
    <w:tbl>
      <w:tblPr>
        <w:tblW w:w="8650" w:type="dxa"/>
        <w:tblInd w:w="-10" w:type="dxa"/>
        <w:tblCellMar>
          <w:left w:w="70" w:type="dxa"/>
          <w:right w:w="70" w:type="dxa"/>
        </w:tblCellMar>
        <w:tblLook w:val="04A0" w:firstRow="1" w:lastRow="0" w:firstColumn="1" w:lastColumn="0" w:noHBand="0" w:noVBand="1"/>
      </w:tblPr>
      <w:tblGrid>
        <w:gridCol w:w="2739"/>
        <w:gridCol w:w="5911"/>
      </w:tblGrid>
      <w:tr w:rsidR="00382F14" w:rsidRPr="00AD3052" w14:paraId="20B6B7D0" w14:textId="77777777" w:rsidTr="577BF0F5">
        <w:trPr>
          <w:trHeight w:val="370"/>
        </w:trPr>
        <w:tc>
          <w:tcPr>
            <w:tcW w:w="273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000066"/>
            <w:vAlign w:val="center"/>
            <w:hideMark/>
          </w:tcPr>
          <w:p w14:paraId="2D308A17" w14:textId="77777777" w:rsidR="00F95C56" w:rsidRDefault="577BF0F5" w:rsidP="0014174E">
            <w:pPr>
              <w:jc w:val="center"/>
              <w:rPr>
                <w:b/>
                <w:bCs/>
                <w:color w:val="FFFFFF" w:themeColor="background1"/>
                <w:lang w:val="es-CO" w:eastAsia="es-CO"/>
              </w:rPr>
            </w:pPr>
            <w:r w:rsidRPr="577BF0F5">
              <w:rPr>
                <w:b/>
                <w:bCs/>
                <w:color w:val="FFFFFF" w:themeColor="background1"/>
                <w:lang w:val="es-CO" w:eastAsia="es-CO"/>
              </w:rPr>
              <w:t>Nombre de la variable</w:t>
            </w:r>
          </w:p>
        </w:tc>
        <w:tc>
          <w:tcPr>
            <w:tcW w:w="5911" w:type="dxa"/>
            <w:tcBorders>
              <w:top w:val="single" w:sz="8" w:space="0" w:color="000000" w:themeColor="text1"/>
              <w:left w:val="nil"/>
              <w:bottom w:val="single" w:sz="8" w:space="0" w:color="000000" w:themeColor="text1"/>
              <w:right w:val="single" w:sz="8" w:space="0" w:color="000000" w:themeColor="text1"/>
            </w:tcBorders>
            <w:shd w:val="clear" w:color="auto" w:fill="000066"/>
            <w:vAlign w:val="center"/>
            <w:hideMark/>
          </w:tcPr>
          <w:p w14:paraId="3A2E63C8" w14:textId="77777777" w:rsidR="00F95C56" w:rsidRDefault="577BF0F5" w:rsidP="0014174E">
            <w:pPr>
              <w:jc w:val="center"/>
              <w:rPr>
                <w:b/>
                <w:bCs/>
                <w:color w:val="FFFFFF" w:themeColor="background1"/>
                <w:lang w:val="es-CO" w:eastAsia="es-CO"/>
              </w:rPr>
            </w:pPr>
            <w:r w:rsidRPr="577BF0F5">
              <w:rPr>
                <w:b/>
                <w:bCs/>
                <w:color w:val="FFFFFF" w:themeColor="background1"/>
                <w:lang w:val="es-CO" w:eastAsia="es-CO"/>
              </w:rPr>
              <w:t>Definición</w:t>
            </w:r>
          </w:p>
        </w:tc>
      </w:tr>
      <w:tr w:rsidR="009E0971" w:rsidRPr="00AD3052" w14:paraId="1FF2E665" w14:textId="77777777" w:rsidTr="577BF0F5">
        <w:trPr>
          <w:trHeight w:val="195"/>
        </w:trPr>
        <w:tc>
          <w:tcPr>
            <w:tcW w:w="8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CB67D55" w14:textId="77777777" w:rsidR="00F95C56" w:rsidRDefault="577BF0F5" w:rsidP="0014174E">
            <w:pPr>
              <w:jc w:val="center"/>
              <w:rPr>
                <w:b/>
                <w:bCs/>
                <w:color w:val="000000" w:themeColor="text1"/>
                <w:lang w:val="es-CO" w:eastAsia="es-CO"/>
              </w:rPr>
            </w:pPr>
            <w:r w:rsidRPr="577BF0F5">
              <w:rPr>
                <w:b/>
                <w:bCs/>
                <w:color w:val="000000" w:themeColor="text1"/>
                <w:lang w:val="es-CO" w:eastAsia="es-CO"/>
              </w:rPr>
              <w:t>Variable dependiente</w:t>
            </w:r>
          </w:p>
        </w:tc>
      </w:tr>
      <w:tr w:rsidR="009E0971" w:rsidRPr="00AD3052" w14:paraId="579A15A8"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47D733A" w14:textId="77777777" w:rsidR="00F95C56" w:rsidRDefault="577BF0F5" w:rsidP="0014174E">
            <w:pPr>
              <w:jc w:val="center"/>
              <w:rPr>
                <w:color w:val="000000" w:themeColor="text1"/>
                <w:lang w:val="es-CO" w:eastAsia="es-CO"/>
              </w:rPr>
            </w:pPr>
            <w:r w:rsidRPr="577BF0F5">
              <w:rPr>
                <w:color w:val="000000" w:themeColor="text1"/>
                <w:lang w:val="es-CO" w:eastAsia="es-CO"/>
              </w:rPr>
              <w:t>Apalancamiento</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1BBA5D4D" w14:textId="77777777" w:rsidR="00F95C56" w:rsidRDefault="577BF0F5" w:rsidP="0014174E">
            <w:pPr>
              <w:jc w:val="center"/>
              <w:rPr>
                <w:color w:val="000000" w:themeColor="text1"/>
                <w:lang w:val="es-CO" w:eastAsia="es-CO"/>
              </w:rPr>
            </w:pPr>
            <w:r w:rsidRPr="577BF0F5">
              <w:rPr>
                <w:color w:val="000000" w:themeColor="text1"/>
                <w:lang w:val="es-CO" w:eastAsia="es-CO"/>
              </w:rPr>
              <w:t>Estructura de capital: deuda sobre patrimonio</w:t>
            </w:r>
          </w:p>
        </w:tc>
      </w:tr>
      <w:tr w:rsidR="00382F14" w:rsidRPr="00AD3052" w14:paraId="55297BF8" w14:textId="77777777" w:rsidTr="577BF0F5">
        <w:trPr>
          <w:trHeight w:val="195"/>
        </w:trPr>
        <w:tc>
          <w:tcPr>
            <w:tcW w:w="8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D3DC132" w14:textId="47E3A6F0" w:rsidR="00F95C56" w:rsidRDefault="002F1EF7" w:rsidP="0014174E">
            <w:pPr>
              <w:jc w:val="center"/>
              <w:rPr>
                <w:b/>
                <w:bCs/>
                <w:color w:val="000000" w:themeColor="text1"/>
                <w:lang w:val="es-CO" w:eastAsia="es-CO"/>
              </w:rPr>
            </w:pPr>
            <w:r>
              <w:rPr>
                <w:b/>
                <w:bCs/>
                <w:color w:val="000000" w:themeColor="text1"/>
                <w:lang w:val="es-CO" w:eastAsia="es-CO"/>
              </w:rPr>
              <w:t xml:space="preserve">Estabilidad </w:t>
            </w:r>
            <w:r w:rsidR="002F20F6">
              <w:rPr>
                <w:b/>
                <w:bCs/>
                <w:color w:val="000000" w:themeColor="text1"/>
                <w:lang w:val="es-CO" w:eastAsia="es-CO"/>
              </w:rPr>
              <w:t>financiera</w:t>
            </w:r>
          </w:p>
        </w:tc>
      </w:tr>
      <w:tr w:rsidR="00382F14" w:rsidRPr="00AD3052" w14:paraId="11F16F7B" w14:textId="77777777" w:rsidTr="577BF0F5">
        <w:trPr>
          <w:trHeight w:val="83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385CD02" w14:textId="77777777" w:rsidR="00F95C56" w:rsidRDefault="577BF0F5" w:rsidP="0014174E">
            <w:pPr>
              <w:jc w:val="center"/>
              <w:rPr>
                <w:color w:val="000000" w:themeColor="text1"/>
                <w:lang w:val="es-CO" w:eastAsia="es-CO"/>
              </w:rPr>
            </w:pPr>
            <w:r w:rsidRPr="577BF0F5">
              <w:rPr>
                <w:color w:val="000000" w:themeColor="text1"/>
                <w:lang w:val="es-CO" w:eastAsia="es-CO"/>
              </w:rPr>
              <w:t>R_Corriente</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2F169F7E" w14:textId="77777777" w:rsidR="00F95C56" w:rsidRDefault="577BF0F5" w:rsidP="0014174E">
            <w:pPr>
              <w:jc w:val="center"/>
              <w:rPr>
                <w:color w:val="000000" w:themeColor="text1"/>
                <w:lang w:val="es-CO" w:eastAsia="es-CO"/>
              </w:rPr>
            </w:pPr>
            <w:r w:rsidRPr="577BF0F5">
              <w:rPr>
                <w:color w:val="000000" w:themeColor="text1"/>
                <w:lang w:val="es-CO" w:eastAsia="es-CO"/>
              </w:rPr>
              <w:t>Razón corriente: la liquidez de las empresas en el corto plazo. Se calcula con los activos corrientes sobre los pasivos corrientes.</w:t>
            </w:r>
          </w:p>
        </w:tc>
      </w:tr>
      <w:tr w:rsidR="00382F14" w:rsidRPr="00AD3052" w14:paraId="77FF13C8" w14:textId="77777777" w:rsidTr="577BF0F5">
        <w:trPr>
          <w:trHeight w:val="629"/>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64E78D4" w14:textId="010E89A4" w:rsidR="00F95C56" w:rsidRDefault="577BF0F5" w:rsidP="0014174E">
            <w:pPr>
              <w:jc w:val="center"/>
              <w:rPr>
                <w:color w:val="000000" w:themeColor="text1"/>
                <w:lang w:val="es-CO" w:eastAsia="es-CO"/>
              </w:rPr>
            </w:pPr>
            <w:r w:rsidRPr="577BF0F5">
              <w:rPr>
                <w:color w:val="000000" w:themeColor="text1"/>
                <w:lang w:val="es-CO" w:eastAsia="es-CO"/>
              </w:rPr>
              <w:t>dummyPerdidas</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3B7E513B" w14:textId="45595647" w:rsidR="00F95C56" w:rsidRDefault="577BF0F5" w:rsidP="0014174E">
            <w:pPr>
              <w:jc w:val="center"/>
              <w:rPr>
                <w:color w:val="000000" w:themeColor="text1"/>
                <w:lang w:val="es-CO" w:eastAsia="es-CO"/>
              </w:rPr>
            </w:pPr>
            <w:r w:rsidRPr="577BF0F5">
              <w:rPr>
                <w:color w:val="000000" w:themeColor="text1"/>
                <w:lang w:val="es-CO" w:eastAsia="es-CO"/>
              </w:rPr>
              <w:t>Ganancias/pérdidas: 1= dos o más períodos negativos en utilidades, 0=lo contrario</w:t>
            </w:r>
          </w:p>
        </w:tc>
      </w:tr>
      <w:tr w:rsidR="00382F14" w:rsidRPr="00AD3052" w14:paraId="0C35174C" w14:textId="77777777" w:rsidTr="577BF0F5">
        <w:trPr>
          <w:trHeight w:val="195"/>
        </w:trPr>
        <w:tc>
          <w:tcPr>
            <w:tcW w:w="8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FA6C736" w14:textId="0BBC751C" w:rsidR="00F95C56" w:rsidRDefault="007A6E8D" w:rsidP="0014174E">
            <w:pPr>
              <w:jc w:val="center"/>
              <w:rPr>
                <w:b/>
                <w:bCs/>
                <w:color w:val="000000" w:themeColor="text1"/>
                <w:lang w:val="es-CO" w:eastAsia="es-CO"/>
              </w:rPr>
            </w:pPr>
            <w:r w:rsidRPr="00E36222">
              <w:rPr>
                <w:b/>
                <w:bCs/>
                <w:color w:val="000000" w:themeColor="text1"/>
                <w:lang w:val="es-CO" w:eastAsia="es-CO"/>
              </w:rPr>
              <w:t>D</w:t>
            </w:r>
            <w:r w:rsidR="00D87E3E" w:rsidRPr="00E36222">
              <w:rPr>
                <w:b/>
                <w:bCs/>
                <w:color w:val="000000" w:themeColor="text1"/>
                <w:lang w:val="es-CO" w:eastAsia="es-CO"/>
              </w:rPr>
              <w:t>esempeño del sector</w:t>
            </w:r>
          </w:p>
        </w:tc>
      </w:tr>
      <w:tr w:rsidR="00382F14" w:rsidRPr="00AD3052" w14:paraId="17066D64"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BCB6652" w14:textId="4AFFC200" w:rsidR="00F95C56" w:rsidRDefault="577BF0F5" w:rsidP="0014174E">
            <w:pPr>
              <w:jc w:val="center"/>
              <w:rPr>
                <w:color w:val="000000" w:themeColor="text1"/>
                <w:lang w:val="es-CO" w:eastAsia="es-CO"/>
              </w:rPr>
            </w:pPr>
            <w:r w:rsidRPr="577BF0F5">
              <w:rPr>
                <w:color w:val="000000" w:themeColor="text1"/>
                <w:lang w:val="es-CO" w:eastAsia="es-CO"/>
              </w:rPr>
              <w:t>dummypibsector1</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75213BF7" w14:textId="4A4DE553" w:rsidR="00F95C56" w:rsidRDefault="577BF0F5" w:rsidP="0014174E">
            <w:pPr>
              <w:jc w:val="center"/>
              <w:rPr>
                <w:color w:val="000000" w:themeColor="text1"/>
                <w:lang w:val="es-CO" w:eastAsia="es-CO"/>
              </w:rPr>
            </w:pPr>
            <w:r w:rsidRPr="577BF0F5">
              <w:rPr>
                <w:color w:val="000000" w:themeColor="text1"/>
                <w:lang w:val="es-CO" w:eastAsia="es-CO"/>
              </w:rPr>
              <w:t>Tasa variación del PIB del sector: 1=dos o más períodos negativos, 0=lo contrario</w:t>
            </w:r>
          </w:p>
        </w:tc>
      </w:tr>
      <w:tr w:rsidR="00DF44F8" w:rsidRPr="00AD3052" w14:paraId="3C4C6D28" w14:textId="77777777" w:rsidTr="577BF0F5">
        <w:trPr>
          <w:trHeight w:val="83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C9F5624" w14:textId="66C8C715" w:rsidR="00F95C56" w:rsidRDefault="577BF0F5" w:rsidP="0014174E">
            <w:pPr>
              <w:jc w:val="center"/>
              <w:rPr>
                <w:color w:val="000000" w:themeColor="text1"/>
                <w:lang w:val="es-CO" w:eastAsia="es-CO"/>
              </w:rPr>
            </w:pPr>
            <w:r w:rsidRPr="577BF0F5">
              <w:rPr>
                <w:color w:val="000000" w:themeColor="text1"/>
                <w:lang w:val="es-CO" w:eastAsia="es-CO"/>
              </w:rPr>
              <w:t>Dummypibsector2</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37B8817D" w14:textId="3F8A6C7C" w:rsidR="00F95C56" w:rsidRDefault="577BF0F5" w:rsidP="0014174E">
            <w:pPr>
              <w:jc w:val="center"/>
              <w:rPr>
                <w:color w:val="000000" w:themeColor="text1"/>
                <w:lang w:val="es-CO" w:eastAsia="es-CO"/>
              </w:rPr>
            </w:pPr>
            <w:r w:rsidRPr="577BF0F5">
              <w:rPr>
                <w:color w:val="000000" w:themeColor="text1"/>
                <w:lang w:val="es-CO" w:eastAsia="es-CO"/>
              </w:rPr>
              <w:t>Tasa de variación del PIB del sector afín: 1= dos o más períodos negativos en un sector afín, 0=lo contrario. Evalúa un posible efecto dominó.</w:t>
            </w:r>
          </w:p>
        </w:tc>
      </w:tr>
      <w:tr w:rsidR="00382F14" w:rsidRPr="00AD3052" w14:paraId="07682911" w14:textId="77777777" w:rsidTr="577BF0F5">
        <w:trPr>
          <w:trHeight w:val="629"/>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B045BB7" w14:textId="4ACB6774" w:rsidR="00F95C56" w:rsidRDefault="577BF0F5" w:rsidP="0014174E">
            <w:pPr>
              <w:jc w:val="center"/>
              <w:rPr>
                <w:color w:val="000000" w:themeColor="text1"/>
                <w:lang w:val="es-CO" w:eastAsia="es-CO"/>
              </w:rPr>
            </w:pPr>
            <w:r w:rsidRPr="577BF0F5">
              <w:rPr>
                <w:color w:val="000000" w:themeColor="text1"/>
                <w:lang w:val="es-CO" w:eastAsia="es-CO"/>
              </w:rPr>
              <w:t>crecimientoDecrecimiento</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513F608F" w14:textId="77777777" w:rsidR="00F95C56" w:rsidRDefault="577BF0F5" w:rsidP="0014174E">
            <w:pPr>
              <w:jc w:val="center"/>
              <w:rPr>
                <w:color w:val="000000" w:themeColor="text1"/>
                <w:lang w:val="es-CO" w:eastAsia="es-CO"/>
              </w:rPr>
            </w:pPr>
            <w:r w:rsidRPr="577BF0F5">
              <w:rPr>
                <w:color w:val="000000" w:themeColor="text1"/>
                <w:lang w:val="es-CO" w:eastAsia="es-CO"/>
              </w:rPr>
              <w:t xml:space="preserve">Tasa de variación porcentual del PIB del sector </w:t>
            </w:r>
          </w:p>
        </w:tc>
      </w:tr>
      <w:tr w:rsidR="00382F14" w:rsidRPr="00AD3052" w14:paraId="005EF49F" w14:textId="77777777" w:rsidTr="577BF0F5">
        <w:trPr>
          <w:trHeight w:val="246"/>
        </w:trPr>
        <w:tc>
          <w:tcPr>
            <w:tcW w:w="86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41FC1FDB" w14:textId="77777777" w:rsidR="00F95C56" w:rsidRDefault="577BF0F5" w:rsidP="0014174E">
            <w:pPr>
              <w:jc w:val="center"/>
              <w:rPr>
                <w:b/>
                <w:bCs/>
                <w:color w:val="000000" w:themeColor="text1"/>
                <w:lang w:val="es-CO" w:eastAsia="es-CO"/>
              </w:rPr>
            </w:pPr>
            <w:r w:rsidRPr="577BF0F5">
              <w:rPr>
                <w:b/>
                <w:bCs/>
                <w:color w:val="000000" w:themeColor="text1"/>
                <w:lang w:val="es-CO" w:eastAsia="es-CO"/>
              </w:rPr>
              <w:t>Variables de control</w:t>
            </w:r>
          </w:p>
        </w:tc>
      </w:tr>
      <w:tr w:rsidR="00382F14" w:rsidRPr="00AD3052" w14:paraId="5A17A2CF" w14:textId="77777777" w:rsidTr="577BF0F5">
        <w:trPr>
          <w:trHeight w:val="21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5DB25FE" w14:textId="77E7D7A4" w:rsidR="00F95C56" w:rsidRDefault="00E30B1A" w:rsidP="0014174E">
            <w:pPr>
              <w:jc w:val="center"/>
              <w:rPr>
                <w:color w:val="000000" w:themeColor="text1"/>
                <w:lang w:val="es-CO" w:eastAsia="es-CO"/>
              </w:rPr>
            </w:pPr>
            <w:r>
              <w:rPr>
                <w:color w:val="000000" w:themeColor="text1"/>
                <w:lang w:val="es-CO" w:eastAsia="es-CO"/>
              </w:rPr>
              <w:t xml:space="preserve">País </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534D5DE3" w14:textId="77777777" w:rsidR="00F95C56" w:rsidRDefault="577BF0F5" w:rsidP="0014174E">
            <w:pPr>
              <w:jc w:val="center"/>
              <w:rPr>
                <w:color w:val="000000" w:themeColor="text1"/>
                <w:lang w:val="es-CO" w:eastAsia="es-CO"/>
              </w:rPr>
            </w:pPr>
            <w:r w:rsidRPr="577BF0F5">
              <w:rPr>
                <w:color w:val="000000" w:themeColor="text1"/>
                <w:lang w:val="es-CO" w:eastAsia="es-CO"/>
              </w:rPr>
              <w:t>1=Colombia, 0=Argentina</w:t>
            </w:r>
          </w:p>
        </w:tc>
      </w:tr>
      <w:tr w:rsidR="00382F14" w:rsidRPr="00AD3052" w14:paraId="5ABFA3F5" w14:textId="77777777" w:rsidTr="577BF0F5">
        <w:trPr>
          <w:trHeight w:val="83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7CDB4C4" w14:textId="77777777" w:rsidR="00F95C56" w:rsidRDefault="577BF0F5" w:rsidP="0014174E">
            <w:pPr>
              <w:jc w:val="center"/>
              <w:rPr>
                <w:color w:val="000000" w:themeColor="text1"/>
                <w:lang w:val="es-CO" w:eastAsia="es-CO"/>
              </w:rPr>
            </w:pPr>
            <w:r w:rsidRPr="577BF0F5">
              <w:rPr>
                <w:color w:val="000000" w:themeColor="text1"/>
                <w:lang w:val="es-CO" w:eastAsia="es-CO"/>
              </w:rPr>
              <w:t>PER</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099CADAE" w14:textId="784CABFF" w:rsidR="00F95C56" w:rsidRDefault="577BF0F5" w:rsidP="0014174E">
            <w:pPr>
              <w:jc w:val="center"/>
              <w:rPr>
                <w:color w:val="000000" w:themeColor="text1"/>
                <w:lang w:val="es-CO" w:eastAsia="es-CO"/>
              </w:rPr>
            </w:pPr>
            <w:r w:rsidRPr="577BF0F5">
              <w:rPr>
                <w:color w:val="000000" w:themeColor="text1"/>
                <w:lang w:val="es-CO" w:eastAsia="es-CO"/>
              </w:rPr>
              <w:t>Price to Earnings Ratio: indica cuántas veces el beneficio neto cubre el precio de una acción; también es una proxy del tamaño de la empresa</w:t>
            </w:r>
          </w:p>
        </w:tc>
      </w:tr>
      <w:tr w:rsidR="00382F14" w:rsidRPr="00AD3052" w14:paraId="6ABAB598" w14:textId="77777777" w:rsidTr="577BF0F5">
        <w:trPr>
          <w:trHeight w:val="83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501CD3E" w14:textId="39FDADB3" w:rsidR="00F95C56" w:rsidRDefault="577BF0F5" w:rsidP="0014174E">
            <w:pPr>
              <w:jc w:val="center"/>
              <w:rPr>
                <w:color w:val="000000" w:themeColor="text1"/>
                <w:lang w:val="es-CO" w:eastAsia="es-CO"/>
              </w:rPr>
            </w:pPr>
            <w:r w:rsidRPr="577BF0F5">
              <w:rPr>
                <w:color w:val="000000" w:themeColor="text1"/>
                <w:lang w:val="es-CO" w:eastAsia="es-CO"/>
              </w:rPr>
              <w:t>tamañoEmpresa</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312B71D5" w14:textId="25D204B2" w:rsidR="00F95C56" w:rsidRDefault="577BF0F5" w:rsidP="0014174E">
            <w:pPr>
              <w:jc w:val="center"/>
              <w:rPr>
                <w:color w:val="000000" w:themeColor="text1"/>
                <w:lang w:val="es-CO" w:eastAsia="es-CO"/>
              </w:rPr>
            </w:pPr>
            <w:r w:rsidRPr="577BF0F5">
              <w:rPr>
                <w:color w:val="000000" w:themeColor="text1"/>
                <w:lang w:val="es-CO" w:eastAsia="es-CO"/>
              </w:rPr>
              <w:t>Tamaño de la empresa: se obtiene al multiplicar el número de acciones emitidas por el precio por acción (</w:t>
            </w:r>
            <w:r w:rsidRPr="577BF0F5">
              <w:rPr>
                <w:i/>
                <w:iCs/>
                <w:color w:val="000000" w:themeColor="text1"/>
                <w:lang w:val="es-CO" w:eastAsia="es-CO"/>
              </w:rPr>
              <w:t>Market capitalization</w:t>
            </w:r>
            <w:r w:rsidRPr="577BF0F5">
              <w:rPr>
                <w:color w:val="000000" w:themeColor="text1"/>
                <w:lang w:val="es-CO" w:eastAsia="es-CO"/>
              </w:rPr>
              <w:t>)</w:t>
            </w:r>
            <w:r w:rsidR="00F7453D">
              <w:rPr>
                <w:color w:val="000000" w:themeColor="text1"/>
                <w:lang w:val="es-CO" w:eastAsia="es-CO"/>
              </w:rPr>
              <w:t xml:space="preserve"> en millones de dólares.</w:t>
            </w:r>
            <w:bookmarkStart w:id="0" w:name="_GoBack"/>
            <w:bookmarkEnd w:id="0"/>
          </w:p>
        </w:tc>
      </w:tr>
      <w:tr w:rsidR="00382F14" w:rsidRPr="00AD3052" w14:paraId="5857693C"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7D5716C" w14:textId="3D56663B" w:rsidR="00F95C56" w:rsidRDefault="577BF0F5" w:rsidP="0014174E">
            <w:pPr>
              <w:jc w:val="center"/>
              <w:rPr>
                <w:color w:val="000000" w:themeColor="text1"/>
                <w:lang w:val="es-CO" w:eastAsia="es-CO"/>
              </w:rPr>
            </w:pPr>
            <w:r w:rsidRPr="577BF0F5">
              <w:rPr>
                <w:color w:val="000000" w:themeColor="text1"/>
                <w:lang w:val="es-CO" w:eastAsia="es-CO"/>
              </w:rPr>
              <w:t>rentabilidadPatrimonio</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726CF09B" w14:textId="77777777" w:rsidR="00F95C56" w:rsidRDefault="577BF0F5" w:rsidP="0014174E">
            <w:pPr>
              <w:jc w:val="center"/>
              <w:rPr>
                <w:color w:val="000000" w:themeColor="text1"/>
                <w:lang w:val="es-CO" w:eastAsia="es-CO"/>
              </w:rPr>
            </w:pPr>
            <w:r w:rsidRPr="577BF0F5">
              <w:rPr>
                <w:color w:val="000000" w:themeColor="text1"/>
                <w:lang w:val="es-CO" w:eastAsia="es-CO"/>
              </w:rPr>
              <w:t>ROE: se calcula con la utilidad neta sobre el patrimonio</w:t>
            </w:r>
          </w:p>
        </w:tc>
      </w:tr>
      <w:tr w:rsidR="00382F14" w:rsidRPr="00AD3052" w14:paraId="6D8D287E"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C6D179D" w14:textId="3471687A" w:rsidR="00F95C56" w:rsidRDefault="577BF0F5" w:rsidP="0014174E">
            <w:pPr>
              <w:jc w:val="center"/>
              <w:rPr>
                <w:color w:val="000000" w:themeColor="text1"/>
                <w:lang w:val="es-CO" w:eastAsia="es-CO"/>
              </w:rPr>
            </w:pPr>
            <w:r w:rsidRPr="577BF0F5">
              <w:rPr>
                <w:color w:val="000000" w:themeColor="text1"/>
                <w:lang w:val="es-CO" w:eastAsia="es-CO"/>
              </w:rPr>
              <w:t>rentabilidadActivos</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702F9C54" w14:textId="77777777" w:rsidR="00F95C56" w:rsidRDefault="577BF0F5" w:rsidP="0014174E">
            <w:pPr>
              <w:jc w:val="center"/>
              <w:rPr>
                <w:color w:val="000000" w:themeColor="text1"/>
                <w:lang w:val="es-CO" w:eastAsia="es-CO"/>
              </w:rPr>
            </w:pPr>
            <w:r w:rsidRPr="577BF0F5">
              <w:rPr>
                <w:color w:val="000000" w:themeColor="text1"/>
                <w:lang w:val="es-CO" w:eastAsia="es-CO"/>
              </w:rPr>
              <w:t>ROA: se calcula con la utilidad neta sobre los activos</w:t>
            </w:r>
          </w:p>
        </w:tc>
      </w:tr>
      <w:tr w:rsidR="00382F14" w:rsidRPr="00AD3052" w14:paraId="5FAAEBFC" w14:textId="77777777" w:rsidTr="577BF0F5">
        <w:trPr>
          <w:trHeight w:val="21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B574BDA" w14:textId="77777777" w:rsidR="00F95C56" w:rsidRDefault="577BF0F5" w:rsidP="0014174E">
            <w:pPr>
              <w:jc w:val="center"/>
              <w:rPr>
                <w:color w:val="000000" w:themeColor="text1"/>
                <w:lang w:val="es-CO" w:eastAsia="es-CO"/>
              </w:rPr>
            </w:pPr>
            <w:r w:rsidRPr="577BF0F5">
              <w:rPr>
                <w:color w:val="000000" w:themeColor="text1"/>
                <w:lang w:val="es-CO" w:eastAsia="es-CO"/>
              </w:rPr>
              <w:t>activos_M</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3F05E18E" w14:textId="77777777" w:rsidR="00F95C56" w:rsidRDefault="577BF0F5" w:rsidP="0014174E">
            <w:pPr>
              <w:jc w:val="center"/>
              <w:rPr>
                <w:color w:val="000000" w:themeColor="text1"/>
                <w:lang w:val="es-CO" w:eastAsia="es-CO"/>
              </w:rPr>
            </w:pPr>
            <w:r w:rsidRPr="577BF0F5">
              <w:rPr>
                <w:color w:val="000000" w:themeColor="text1"/>
                <w:lang w:val="es-CO" w:eastAsia="es-CO"/>
              </w:rPr>
              <w:t>Activos en millones de dólares</w:t>
            </w:r>
          </w:p>
        </w:tc>
      </w:tr>
      <w:tr w:rsidR="00382F14" w:rsidRPr="00AD3052" w14:paraId="7714706D" w14:textId="77777777" w:rsidTr="577BF0F5">
        <w:trPr>
          <w:trHeight w:val="83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B2C15DD" w14:textId="68501615" w:rsidR="00F95C56" w:rsidRDefault="577BF0F5" w:rsidP="0014174E">
            <w:pPr>
              <w:jc w:val="center"/>
              <w:rPr>
                <w:color w:val="000000" w:themeColor="text1"/>
                <w:lang w:val="es-CO" w:eastAsia="es-CO"/>
              </w:rPr>
            </w:pPr>
            <w:r w:rsidRPr="577BF0F5">
              <w:rPr>
                <w:color w:val="000000" w:themeColor="text1"/>
                <w:lang w:val="es-CO" w:eastAsia="es-CO"/>
              </w:rPr>
              <w:t>impuestosDiferidos_M</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254F87AB" w14:textId="77777777" w:rsidR="00F95C56" w:rsidRDefault="577BF0F5" w:rsidP="0014174E">
            <w:pPr>
              <w:jc w:val="center"/>
              <w:rPr>
                <w:color w:val="000000" w:themeColor="text1"/>
                <w:lang w:val="es-CO" w:eastAsia="es-CO"/>
              </w:rPr>
            </w:pPr>
            <w:r w:rsidRPr="577BF0F5">
              <w:rPr>
                <w:color w:val="000000" w:themeColor="text1"/>
                <w:lang w:val="es-CO" w:eastAsia="es-CO"/>
              </w:rPr>
              <w:t>Impuestos diferidos: sirve también como proxy de los efectos de los escudos fiscales, es decir, de ahorros por impuestos.</w:t>
            </w:r>
          </w:p>
        </w:tc>
      </w:tr>
      <w:tr w:rsidR="00382F14" w:rsidRPr="00AD3052" w14:paraId="48882CD9" w14:textId="77777777" w:rsidTr="577BF0F5">
        <w:trPr>
          <w:trHeight w:val="104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62A0679" w14:textId="636C19DD" w:rsidR="00F95C56" w:rsidRDefault="577BF0F5" w:rsidP="0014174E">
            <w:pPr>
              <w:jc w:val="center"/>
              <w:rPr>
                <w:color w:val="000000" w:themeColor="text1"/>
                <w:lang w:val="es-CO" w:eastAsia="es-CO"/>
              </w:rPr>
            </w:pPr>
            <w:r w:rsidRPr="577BF0F5">
              <w:rPr>
                <w:color w:val="000000" w:themeColor="text1"/>
                <w:lang w:val="es-CO" w:eastAsia="es-CO"/>
              </w:rPr>
              <w:t>Utilidades Operativas_M</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754739FA" w14:textId="77777777" w:rsidR="00F95C56" w:rsidRDefault="577BF0F5" w:rsidP="0014174E">
            <w:pPr>
              <w:jc w:val="center"/>
              <w:rPr>
                <w:color w:val="000000" w:themeColor="text1"/>
                <w:lang w:val="es-CO" w:eastAsia="es-CO"/>
              </w:rPr>
            </w:pPr>
            <w:r w:rsidRPr="577BF0F5">
              <w:rPr>
                <w:color w:val="000000" w:themeColor="text1"/>
                <w:lang w:val="es-CO" w:eastAsia="es-CO"/>
              </w:rPr>
              <w:t>Ganancias antes de impuestos e intereses (EBIT). Se utilizan utilidades operativas por facilidad de comprensión.  Está en millones de dólares</w:t>
            </w:r>
          </w:p>
        </w:tc>
      </w:tr>
      <w:tr w:rsidR="00382F14" w:rsidRPr="00AD3052" w14:paraId="35010DBB" w14:textId="77777777" w:rsidTr="577BF0F5">
        <w:trPr>
          <w:trHeight w:val="1248"/>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B2D5295" w14:textId="45292540" w:rsidR="00F95C56" w:rsidRDefault="577BF0F5" w:rsidP="0014174E">
            <w:pPr>
              <w:jc w:val="center"/>
              <w:rPr>
                <w:color w:val="000000" w:themeColor="text1"/>
                <w:lang w:val="es-CO" w:eastAsia="es-CO"/>
              </w:rPr>
            </w:pPr>
            <w:r w:rsidRPr="577BF0F5">
              <w:rPr>
                <w:color w:val="000000" w:themeColor="text1"/>
                <w:lang w:val="es-CO" w:eastAsia="es-CO"/>
              </w:rPr>
              <w:lastRenderedPageBreak/>
              <w:t>Utilidades Netas_M</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04C5D821" w14:textId="77777777" w:rsidR="00F95C56" w:rsidRDefault="577BF0F5" w:rsidP="0014174E">
            <w:pPr>
              <w:jc w:val="center"/>
              <w:rPr>
                <w:color w:val="000000" w:themeColor="text1"/>
                <w:lang w:val="es-CO" w:eastAsia="es-CO"/>
              </w:rPr>
            </w:pPr>
            <w:r w:rsidRPr="577BF0F5">
              <w:rPr>
                <w:color w:val="000000" w:themeColor="text1"/>
                <w:lang w:val="es-CO" w:eastAsia="es-CO"/>
              </w:rPr>
              <w:t>Ganancias antes de impuestos, intereses, depreciaciones y amortizaciones (EBITDA). Se utilizan utilidades netas por facilidad de comprensión. Está en millones de dólares</w:t>
            </w:r>
          </w:p>
        </w:tc>
      </w:tr>
      <w:tr w:rsidR="00382F14" w:rsidRPr="00AD3052" w14:paraId="66B2FC57" w14:textId="77777777" w:rsidTr="577BF0F5">
        <w:trPr>
          <w:trHeight w:val="21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4788B11" w14:textId="39985E84" w:rsidR="00F95C56" w:rsidRDefault="577BF0F5" w:rsidP="0014174E">
            <w:pPr>
              <w:jc w:val="center"/>
              <w:rPr>
                <w:color w:val="000000" w:themeColor="text1"/>
                <w:lang w:val="es-CO" w:eastAsia="es-CO"/>
              </w:rPr>
            </w:pPr>
            <w:r w:rsidRPr="577BF0F5">
              <w:rPr>
                <w:color w:val="000000" w:themeColor="text1"/>
                <w:lang w:val="es-CO" w:eastAsia="es-CO"/>
              </w:rPr>
              <w:t>tasaImpuestos</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1F7BAD45" w14:textId="256ECAA4" w:rsidR="00F95C56" w:rsidRDefault="577BF0F5" w:rsidP="0014174E">
            <w:pPr>
              <w:jc w:val="center"/>
              <w:rPr>
                <w:color w:val="000000" w:themeColor="text1"/>
                <w:lang w:val="es-CO" w:eastAsia="es-CO"/>
              </w:rPr>
            </w:pPr>
            <w:r w:rsidRPr="577BF0F5">
              <w:rPr>
                <w:color w:val="000000" w:themeColor="text1"/>
                <w:lang w:val="es-CO" w:eastAsia="es-CO"/>
              </w:rPr>
              <w:t>Tasa de impuestos</w:t>
            </w:r>
          </w:p>
        </w:tc>
      </w:tr>
      <w:tr w:rsidR="00382F14" w:rsidRPr="00496EE0" w14:paraId="6CACF86E" w14:textId="77777777" w:rsidTr="577BF0F5">
        <w:trPr>
          <w:trHeight w:val="21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B87925C" w14:textId="6939021B" w:rsidR="00F95C56" w:rsidRDefault="577BF0F5" w:rsidP="0014174E">
            <w:pPr>
              <w:jc w:val="center"/>
              <w:rPr>
                <w:color w:val="000000" w:themeColor="text1"/>
                <w:lang w:val="es-CO" w:eastAsia="es-CO"/>
              </w:rPr>
            </w:pPr>
            <w:r w:rsidRPr="577BF0F5">
              <w:rPr>
                <w:color w:val="000000" w:themeColor="text1"/>
                <w:lang w:val="es-CO" w:eastAsia="es-CO"/>
              </w:rPr>
              <w:t>tasaImpuestos 5 Años</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1B06BDD3" w14:textId="4B12A245" w:rsidR="00F95C56" w:rsidRDefault="577BF0F5" w:rsidP="0014174E">
            <w:pPr>
              <w:jc w:val="center"/>
              <w:rPr>
                <w:color w:val="000000" w:themeColor="text1"/>
                <w:lang w:val="es-CO" w:eastAsia="es-CO"/>
              </w:rPr>
            </w:pPr>
            <w:r w:rsidRPr="577BF0F5">
              <w:rPr>
                <w:color w:val="000000" w:themeColor="text1"/>
                <w:lang w:val="es-CO" w:eastAsia="es-CO"/>
              </w:rPr>
              <w:t>Promedio de impuestos en 5 años</w:t>
            </w:r>
          </w:p>
        </w:tc>
      </w:tr>
      <w:tr w:rsidR="00382F14" w:rsidRPr="00AD3052" w14:paraId="2B3D63B0"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2C37751" w14:textId="2B8500F1" w:rsidR="00F95C56" w:rsidRDefault="577BF0F5" w:rsidP="0014174E">
            <w:pPr>
              <w:jc w:val="center"/>
              <w:rPr>
                <w:color w:val="000000" w:themeColor="text1"/>
                <w:lang w:val="es-CO" w:eastAsia="es-CO"/>
              </w:rPr>
            </w:pPr>
            <w:r w:rsidRPr="577BF0F5">
              <w:rPr>
                <w:color w:val="000000" w:themeColor="text1"/>
                <w:lang w:val="es-CO" w:eastAsia="es-CO"/>
              </w:rPr>
              <w:t>deudaExterna_M</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5FC532DE" w14:textId="6B52C708" w:rsidR="00F95C56" w:rsidRDefault="577BF0F5" w:rsidP="0014174E">
            <w:pPr>
              <w:jc w:val="center"/>
              <w:rPr>
                <w:color w:val="000000" w:themeColor="text1"/>
                <w:lang w:val="es-CO" w:eastAsia="es-CO"/>
              </w:rPr>
            </w:pPr>
            <w:r w:rsidRPr="577BF0F5">
              <w:rPr>
                <w:color w:val="000000" w:themeColor="text1"/>
                <w:lang w:val="es-CO" w:eastAsia="es-CO"/>
              </w:rPr>
              <w:t xml:space="preserve">Deuda externa del país en </w:t>
            </w:r>
            <w:r w:rsidR="00152F39">
              <w:rPr>
                <w:color w:val="000000" w:themeColor="text1"/>
                <w:lang w:val="es-CO" w:eastAsia="es-CO"/>
              </w:rPr>
              <w:t xml:space="preserve">miles de </w:t>
            </w:r>
            <w:r w:rsidRPr="577BF0F5">
              <w:rPr>
                <w:color w:val="000000" w:themeColor="text1"/>
                <w:lang w:val="es-CO" w:eastAsia="es-CO"/>
              </w:rPr>
              <w:t>millones de dólares</w:t>
            </w:r>
          </w:p>
        </w:tc>
      </w:tr>
      <w:tr w:rsidR="00382F14" w:rsidRPr="00AD3052" w14:paraId="573E07A5"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D262622" w14:textId="712C7488" w:rsidR="00F95C56" w:rsidRDefault="577BF0F5" w:rsidP="0014174E">
            <w:pPr>
              <w:jc w:val="center"/>
              <w:rPr>
                <w:color w:val="000000" w:themeColor="text1"/>
                <w:lang w:val="es-CO" w:eastAsia="es-CO"/>
              </w:rPr>
            </w:pPr>
            <w:r w:rsidRPr="577BF0F5">
              <w:rPr>
                <w:color w:val="000000" w:themeColor="text1"/>
                <w:lang w:val="es-CO" w:eastAsia="es-CO"/>
              </w:rPr>
              <w:t>deudaInterna_M</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6B91E654" w14:textId="61AA7F02" w:rsidR="00F95C56" w:rsidRDefault="577BF0F5" w:rsidP="0014174E">
            <w:pPr>
              <w:jc w:val="center"/>
              <w:rPr>
                <w:color w:val="000000" w:themeColor="text1"/>
                <w:lang w:val="es-CO" w:eastAsia="es-CO"/>
              </w:rPr>
            </w:pPr>
            <w:r w:rsidRPr="577BF0F5">
              <w:rPr>
                <w:color w:val="000000" w:themeColor="text1"/>
                <w:lang w:val="es-CO" w:eastAsia="es-CO"/>
              </w:rPr>
              <w:t xml:space="preserve">Deuda interna del país en </w:t>
            </w:r>
            <w:r w:rsidR="00152F39">
              <w:rPr>
                <w:color w:val="000000" w:themeColor="text1"/>
                <w:lang w:val="es-CO" w:eastAsia="es-CO"/>
              </w:rPr>
              <w:t xml:space="preserve">miles de </w:t>
            </w:r>
            <w:r w:rsidRPr="577BF0F5">
              <w:rPr>
                <w:color w:val="000000" w:themeColor="text1"/>
                <w:lang w:val="es-CO" w:eastAsia="es-CO"/>
              </w:rPr>
              <w:t>millones de dólares</w:t>
            </w:r>
          </w:p>
        </w:tc>
      </w:tr>
      <w:tr w:rsidR="00E30B1A" w:rsidRPr="00AD3052" w14:paraId="1D0BAC9F" w14:textId="77777777" w:rsidTr="00EA5355">
        <w:trPr>
          <w:trHeight w:val="21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71BBE1C" w14:textId="77777777" w:rsidR="00E30B1A" w:rsidRDefault="00E30B1A" w:rsidP="00EA5355">
            <w:pPr>
              <w:jc w:val="center"/>
              <w:rPr>
                <w:color w:val="000000" w:themeColor="text1"/>
                <w:lang w:val="es-CO" w:eastAsia="es-CO"/>
              </w:rPr>
            </w:pPr>
            <w:r w:rsidRPr="577BF0F5">
              <w:rPr>
                <w:color w:val="000000" w:themeColor="text1"/>
                <w:lang w:val="es-CO" w:eastAsia="es-CO"/>
              </w:rPr>
              <w:t>pibSector_M</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5E5925CA" w14:textId="64D7485D" w:rsidR="00E30B1A" w:rsidRDefault="00E30B1A" w:rsidP="00EA5355">
            <w:pPr>
              <w:jc w:val="center"/>
              <w:rPr>
                <w:color w:val="000000" w:themeColor="text1"/>
                <w:lang w:val="es-CO" w:eastAsia="es-CO"/>
              </w:rPr>
            </w:pPr>
            <w:r w:rsidRPr="577BF0F5">
              <w:rPr>
                <w:color w:val="000000" w:themeColor="text1"/>
                <w:lang w:val="es-CO" w:eastAsia="es-CO"/>
              </w:rPr>
              <w:t xml:space="preserve">Pib del sector en </w:t>
            </w:r>
            <w:r w:rsidR="00152F39">
              <w:rPr>
                <w:color w:val="000000" w:themeColor="text1"/>
                <w:lang w:val="es-CO" w:eastAsia="es-CO"/>
              </w:rPr>
              <w:t xml:space="preserve">miles </w:t>
            </w:r>
            <w:r w:rsidRPr="577BF0F5">
              <w:rPr>
                <w:color w:val="000000" w:themeColor="text1"/>
                <w:lang w:val="es-CO" w:eastAsia="es-CO"/>
              </w:rPr>
              <w:t>millones de dólares</w:t>
            </w:r>
          </w:p>
        </w:tc>
      </w:tr>
      <w:tr w:rsidR="00382F14" w:rsidRPr="00AD3052" w14:paraId="69588E69" w14:textId="77777777" w:rsidTr="577BF0F5">
        <w:trPr>
          <w:trHeight w:val="215"/>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1B82AC6" w14:textId="2728A331" w:rsidR="00F95C56" w:rsidRDefault="00E30B1A" w:rsidP="0014174E">
            <w:pPr>
              <w:jc w:val="center"/>
              <w:rPr>
                <w:color w:val="000000" w:themeColor="text1"/>
                <w:lang w:val="es-CO" w:eastAsia="es-CO"/>
              </w:rPr>
            </w:pPr>
            <w:r>
              <w:rPr>
                <w:color w:val="000000" w:themeColor="text1"/>
                <w:lang w:val="es-CO" w:eastAsia="es-CO"/>
              </w:rPr>
              <w:t>Roa 2</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114D9BA4" w14:textId="63964EF4" w:rsidR="00F95C56" w:rsidRDefault="00E30B1A" w:rsidP="0014174E">
            <w:pPr>
              <w:jc w:val="center"/>
              <w:rPr>
                <w:color w:val="000000" w:themeColor="text1"/>
                <w:lang w:val="es-CO" w:eastAsia="es-CO"/>
              </w:rPr>
            </w:pPr>
            <w:r>
              <w:rPr>
                <w:color w:val="000000" w:themeColor="text1"/>
                <w:lang w:val="es-CO" w:eastAsia="es-CO"/>
              </w:rPr>
              <w:t>Retorno</w:t>
            </w:r>
            <w:r w:rsidR="00407B2D">
              <w:rPr>
                <w:color w:val="000000" w:themeColor="text1"/>
                <w:lang w:val="es-CO" w:eastAsia="es-CO"/>
              </w:rPr>
              <w:t xml:space="preserve"> Sobre los Activos de Años anteriores</w:t>
            </w:r>
          </w:p>
        </w:tc>
      </w:tr>
      <w:tr w:rsidR="00382F14" w:rsidRPr="00AD3052" w14:paraId="5DB621A0"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55C4CF5" w14:textId="77777777" w:rsidR="00F95C56" w:rsidRDefault="577BF0F5" w:rsidP="0014174E">
            <w:pPr>
              <w:jc w:val="center"/>
              <w:rPr>
                <w:color w:val="000000" w:themeColor="text1"/>
                <w:lang w:val="es-CO" w:eastAsia="es-CO"/>
              </w:rPr>
            </w:pPr>
            <w:r w:rsidRPr="577BF0F5">
              <w:rPr>
                <w:color w:val="000000" w:themeColor="text1"/>
                <w:lang w:val="es-CO" w:eastAsia="es-CO"/>
              </w:rPr>
              <w:t>Lagroe</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4100FB51" w14:textId="77777777" w:rsidR="00F95C56" w:rsidRDefault="577BF0F5" w:rsidP="0014174E">
            <w:pPr>
              <w:jc w:val="center"/>
              <w:rPr>
                <w:color w:val="000000" w:themeColor="text1"/>
                <w:lang w:val="es-CO" w:eastAsia="es-CO"/>
              </w:rPr>
            </w:pPr>
            <w:r w:rsidRPr="577BF0F5">
              <w:rPr>
                <w:color w:val="000000" w:themeColor="text1"/>
                <w:lang w:val="es-CO" w:eastAsia="es-CO"/>
              </w:rPr>
              <w:t>Rezago a dos períodos en la variable de rentabilidad del patrimonio (ROE)</w:t>
            </w:r>
          </w:p>
        </w:tc>
      </w:tr>
      <w:tr w:rsidR="00382F14" w:rsidRPr="00AD3052" w14:paraId="5508BC22" w14:textId="77777777" w:rsidTr="577BF0F5">
        <w:trPr>
          <w:trHeight w:val="422"/>
        </w:trPr>
        <w:tc>
          <w:tcPr>
            <w:tcW w:w="273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2F34D0BE" w14:textId="2C2D07F1" w:rsidR="00F95C56" w:rsidRDefault="577BF0F5" w:rsidP="0014174E">
            <w:pPr>
              <w:jc w:val="center"/>
              <w:rPr>
                <w:color w:val="000000" w:themeColor="text1"/>
                <w:lang w:val="es-CO" w:eastAsia="es-CO"/>
              </w:rPr>
            </w:pPr>
            <w:r w:rsidRPr="577BF0F5">
              <w:rPr>
                <w:color w:val="000000" w:themeColor="text1"/>
                <w:lang w:val="es-CO" w:eastAsia="es-CO"/>
              </w:rPr>
              <w:t>escudo_fiscal</w:t>
            </w:r>
          </w:p>
        </w:tc>
        <w:tc>
          <w:tcPr>
            <w:tcW w:w="5911" w:type="dxa"/>
            <w:tcBorders>
              <w:top w:val="nil"/>
              <w:left w:val="nil"/>
              <w:bottom w:val="single" w:sz="8" w:space="0" w:color="000000" w:themeColor="text1"/>
              <w:right w:val="single" w:sz="8" w:space="0" w:color="000000" w:themeColor="text1"/>
            </w:tcBorders>
            <w:shd w:val="clear" w:color="auto" w:fill="auto"/>
            <w:vAlign w:val="center"/>
            <w:hideMark/>
          </w:tcPr>
          <w:p w14:paraId="1838C5CB" w14:textId="56967B0C" w:rsidR="00F95C56" w:rsidRDefault="577BF0F5" w:rsidP="0014174E">
            <w:pPr>
              <w:jc w:val="center"/>
              <w:rPr>
                <w:color w:val="000000" w:themeColor="text1"/>
                <w:lang w:val="es-CO" w:eastAsia="es-CO"/>
              </w:rPr>
            </w:pPr>
            <w:r w:rsidRPr="577BF0F5">
              <w:rPr>
                <w:color w:val="000000" w:themeColor="text1"/>
                <w:lang w:val="es-CO" w:eastAsia="es-CO"/>
              </w:rPr>
              <w:t>Cobertura de intereses: activos/impuestos diferidos</w:t>
            </w:r>
          </w:p>
        </w:tc>
      </w:tr>
    </w:tbl>
    <w:p w14:paraId="4B2657D1" w14:textId="77777777" w:rsidR="00F95C56" w:rsidRDefault="577BF0F5" w:rsidP="0014174E">
      <w:pPr>
        <w:rPr>
          <w:sz w:val="20"/>
          <w:szCs w:val="20"/>
        </w:rPr>
      </w:pPr>
      <w:r w:rsidRPr="577BF0F5">
        <w:rPr>
          <w:sz w:val="20"/>
          <w:szCs w:val="20"/>
        </w:rPr>
        <w:t>* Los datos se obtuvieron de Bloomberg, Emis y Reuters. Otros datos se construyeron.</w:t>
      </w:r>
    </w:p>
    <w:p w14:paraId="1903C33F" w14:textId="77777777" w:rsidR="00F95C56" w:rsidRDefault="00F95C56" w:rsidP="0014174E">
      <w:pPr>
        <w:ind w:firstLine="708"/>
        <w:jc w:val="both"/>
      </w:pPr>
    </w:p>
    <w:p w14:paraId="406604F4" w14:textId="77777777" w:rsidR="00CB48B3" w:rsidRDefault="00CB48B3" w:rsidP="0014174E">
      <w:pPr>
        <w:ind w:firstLine="708"/>
        <w:jc w:val="both"/>
      </w:pPr>
    </w:p>
    <w:p w14:paraId="24D8DFE8" w14:textId="7F1339E4" w:rsidR="00F95C56" w:rsidRDefault="577BF0F5" w:rsidP="0014174E">
      <w:pPr>
        <w:ind w:firstLine="708"/>
        <w:jc w:val="both"/>
      </w:pPr>
      <w:r>
        <w:t xml:space="preserve">La base de datos se obtuvo de Bloomberg, Emis y Thomson-Reuters; está compuesta por 167 empresas financieras y no financieras que cotizan en los mercados de Colombia (80 empresas) y Argentina (87 empresas). La frecuencia de todo el panel de datos desbalanceado es trimestral, desde el segundo trimestre del 2005 hasta el segundo trimestre del 2015. La variable explicada del modelo es el nivel de endeudamiento de las empresas, definido como Deuda sobre Patrimonio. En el rubro de deuda se incluye deuda de corto y largo plazo. </w:t>
      </w:r>
    </w:p>
    <w:p w14:paraId="2AE9FF89" w14:textId="77777777" w:rsidR="0014174E" w:rsidRDefault="0014174E" w:rsidP="0014174E">
      <w:pPr>
        <w:ind w:firstLine="708"/>
        <w:jc w:val="both"/>
      </w:pPr>
    </w:p>
    <w:p w14:paraId="745AE65E" w14:textId="5E7B3644" w:rsidR="00F95C56" w:rsidRDefault="00DE116E" w:rsidP="0014174E">
      <w:pPr>
        <w:ind w:firstLine="708"/>
        <w:jc w:val="both"/>
      </w:pPr>
      <w:r>
        <w:t>La estadística descriptiva presenta</w:t>
      </w:r>
      <w:r w:rsidR="00540656" w:rsidRPr="00850B99">
        <w:t xml:space="preserve"> datos que parecen ser anormales</w:t>
      </w:r>
      <w:r w:rsidR="00746E66">
        <w:t>,</w:t>
      </w:r>
      <w:r w:rsidR="00540656" w:rsidRPr="00850B99">
        <w:t xml:space="preserve"> pero que son congruentes con la </w:t>
      </w:r>
      <w:r w:rsidR="007C3874" w:rsidRPr="00850B99">
        <w:t>realidad, como es el caso del apalancamiento negativo de 695,36</w:t>
      </w:r>
      <w:r>
        <w:t xml:space="preserve"> (véase </w:t>
      </w:r>
      <w:r w:rsidR="00496EE0">
        <w:t>T</w:t>
      </w:r>
      <w:r>
        <w:t>abla 2)</w:t>
      </w:r>
      <w:r w:rsidR="00AA3E33">
        <w:t>. Esto simplemente se debe</w:t>
      </w:r>
      <w:r w:rsidR="007C3874" w:rsidRPr="00850B99">
        <w:t xml:space="preserve"> a </w:t>
      </w:r>
      <w:r w:rsidR="007C3874" w:rsidRPr="00850B99">
        <w:rPr>
          <w:color w:val="111111"/>
          <w:shd w:val="clear" w:color="auto" w:fill="FFFFFF"/>
        </w:rPr>
        <w:t>que los fondos provenientes de deuda son</w:t>
      </w:r>
      <w:r w:rsidR="007C3874" w:rsidRPr="577BF0F5">
        <w:rPr>
          <w:rStyle w:val="apple-converted-space"/>
          <w:b/>
          <w:bCs/>
          <w:color w:val="111111"/>
          <w:shd w:val="clear" w:color="auto" w:fill="FFFFFF"/>
        </w:rPr>
        <w:t> </w:t>
      </w:r>
      <w:r w:rsidR="007C3874" w:rsidRPr="00850B99">
        <w:rPr>
          <w:rStyle w:val="Textoennegrita"/>
          <w:b w:val="0"/>
          <w:bCs w:val="0"/>
          <w:shd w:val="clear" w:color="auto" w:fill="FFFFFF"/>
        </w:rPr>
        <w:t>improductivos</w:t>
      </w:r>
      <w:r w:rsidR="00496EE0">
        <w:rPr>
          <w:rStyle w:val="Textoennegrita"/>
          <w:b w:val="0"/>
          <w:bCs w:val="0"/>
          <w:shd w:val="clear" w:color="auto" w:fill="FFFFFF"/>
        </w:rPr>
        <w:t>,</w:t>
      </w:r>
      <w:r w:rsidR="007C3874" w:rsidRPr="00850B99">
        <w:rPr>
          <w:rStyle w:val="apple-converted-space"/>
          <w:color w:val="111111"/>
          <w:shd w:val="clear" w:color="auto" w:fill="FFFFFF"/>
        </w:rPr>
        <w:t> </w:t>
      </w:r>
      <w:r w:rsidR="007C3874" w:rsidRPr="00850B99">
        <w:rPr>
          <w:color w:val="111111"/>
          <w:shd w:val="clear" w:color="auto" w:fill="FFFFFF"/>
        </w:rPr>
        <w:t>es decir, cuando la tasa de rendimiento so</w:t>
      </w:r>
      <w:r w:rsidR="00746E66">
        <w:rPr>
          <w:color w:val="111111"/>
          <w:shd w:val="clear" w:color="auto" w:fill="FFFFFF"/>
        </w:rPr>
        <w:t>bre el patrimonio de la empresa</w:t>
      </w:r>
      <w:r w:rsidR="007C3874" w:rsidRPr="00850B99">
        <w:rPr>
          <w:color w:val="111111"/>
          <w:shd w:val="clear" w:color="auto" w:fill="FFFFFF"/>
        </w:rPr>
        <w:t xml:space="preserve"> es</w:t>
      </w:r>
      <w:r w:rsidR="007C3874" w:rsidRPr="577BF0F5">
        <w:rPr>
          <w:rStyle w:val="apple-converted-space"/>
          <w:b/>
          <w:bCs/>
          <w:color w:val="111111"/>
          <w:shd w:val="clear" w:color="auto" w:fill="FFFFFF"/>
        </w:rPr>
        <w:t> </w:t>
      </w:r>
      <w:r w:rsidR="007C3874" w:rsidRPr="00850B99">
        <w:rPr>
          <w:rStyle w:val="Textoennegrita"/>
          <w:b w:val="0"/>
          <w:bCs w:val="0"/>
          <w:shd w:val="clear" w:color="auto" w:fill="FFFFFF"/>
        </w:rPr>
        <w:t>menor</w:t>
      </w:r>
      <w:r w:rsidR="007C3874" w:rsidRPr="00850B99">
        <w:rPr>
          <w:rStyle w:val="apple-converted-space"/>
          <w:b/>
          <w:bCs/>
          <w:shd w:val="clear" w:color="auto" w:fill="FFFFFF"/>
        </w:rPr>
        <w:t> </w:t>
      </w:r>
      <w:r w:rsidR="007C3874" w:rsidRPr="00850B99">
        <w:rPr>
          <w:color w:val="111111"/>
          <w:shd w:val="clear" w:color="auto" w:fill="FFFFFF"/>
        </w:rPr>
        <w:t>a la tasa de interés de</w:t>
      </w:r>
      <w:r w:rsidR="008137D5">
        <w:rPr>
          <w:color w:val="111111"/>
          <w:shd w:val="clear" w:color="auto" w:fill="FFFFFF"/>
        </w:rPr>
        <w:t xml:space="preserve"> </w:t>
      </w:r>
      <w:r w:rsidR="007C3874" w:rsidRPr="00850B99">
        <w:rPr>
          <w:color w:val="111111"/>
          <w:shd w:val="clear" w:color="auto" w:fill="FFFFFF"/>
        </w:rPr>
        <w:t>l</w:t>
      </w:r>
      <w:r w:rsidR="008137D5">
        <w:rPr>
          <w:color w:val="111111"/>
          <w:shd w:val="clear" w:color="auto" w:fill="FFFFFF"/>
        </w:rPr>
        <w:t>os</w:t>
      </w:r>
      <w:r w:rsidR="007C3874" w:rsidRPr="00850B99">
        <w:rPr>
          <w:color w:val="111111"/>
          <w:shd w:val="clear" w:color="auto" w:fill="FFFFFF"/>
        </w:rPr>
        <w:t xml:space="preserve"> préstamo</w:t>
      </w:r>
      <w:r w:rsidR="008137D5">
        <w:rPr>
          <w:color w:val="111111"/>
          <w:shd w:val="clear" w:color="auto" w:fill="FFFFFF"/>
        </w:rPr>
        <w:t>s</w:t>
      </w:r>
      <w:r w:rsidR="007C3874" w:rsidRPr="00850B99">
        <w:rPr>
          <w:color w:val="111111"/>
          <w:shd w:val="clear" w:color="auto" w:fill="FFFFFF"/>
        </w:rPr>
        <w:t xml:space="preserve">. En otras palabras, cuando la deuda en vez de aportar opciones de crecimiento se convierte en una carga difícil de pagar. </w:t>
      </w:r>
      <w:r w:rsidR="001A11A0" w:rsidRPr="00850B99">
        <w:t>De la misma ma</w:t>
      </w:r>
      <w:r w:rsidR="00746E66">
        <w:t>nera, es necesario</w:t>
      </w:r>
      <w:r w:rsidR="001A11A0" w:rsidRPr="00850B99">
        <w:t xml:space="preserve"> destacar que en los modelos hay una pérdida important</w:t>
      </w:r>
      <w:r w:rsidR="00746E66">
        <w:t xml:space="preserve">e de observaciones por la forma como está construida </w:t>
      </w:r>
      <w:r w:rsidR="001A11A0" w:rsidRPr="00850B99">
        <w:t>la base de datos</w:t>
      </w:r>
      <w:r w:rsidR="00626174">
        <w:t>; e</w:t>
      </w:r>
      <w:r w:rsidR="001A11A0" w:rsidRPr="00850B99">
        <w:t xml:space="preserve">sto es un inconveniente y </w:t>
      </w:r>
      <w:r w:rsidR="009F5D4A">
        <w:t xml:space="preserve">una </w:t>
      </w:r>
      <w:r w:rsidR="001A11A0" w:rsidRPr="00850B99">
        <w:t>limitante de esta investigación</w:t>
      </w:r>
      <w:r w:rsidR="00746E66">
        <w:t>,</w:t>
      </w:r>
      <w:r w:rsidR="001A11A0" w:rsidRPr="00850B99">
        <w:t xml:space="preserve"> ya que podría haber un efecto causado simplemente por el cambio en el número de observaciones.</w:t>
      </w:r>
    </w:p>
    <w:p w14:paraId="5E449FDB" w14:textId="77777777" w:rsidR="00F95C56" w:rsidRDefault="00F95C56" w:rsidP="0014174E">
      <w:pPr>
        <w:rPr>
          <w:rFonts w:ascii="Arial" w:hAnsi="Arial" w:cs="Arial"/>
          <w:b/>
          <w:sz w:val="28"/>
          <w:szCs w:val="28"/>
        </w:rPr>
      </w:pPr>
    </w:p>
    <w:p w14:paraId="09B56A35" w14:textId="77777777" w:rsidR="00F95C56" w:rsidRDefault="577BF0F5" w:rsidP="007A272B">
      <w:pPr>
        <w:jc w:val="center"/>
        <w:outlineLvl w:val="0"/>
        <w:rPr>
          <w:b/>
          <w:bCs/>
        </w:rPr>
      </w:pPr>
      <w:r w:rsidRPr="577BF0F5">
        <w:rPr>
          <w:b/>
          <w:bCs/>
        </w:rPr>
        <w:t>Tabla 2. Estadísticas descriptivas de las variables</w:t>
      </w:r>
    </w:p>
    <w:tbl>
      <w:tblPr>
        <w:tblW w:w="7096" w:type="dxa"/>
        <w:tblInd w:w="-10" w:type="dxa"/>
        <w:tblLayout w:type="fixed"/>
        <w:tblCellMar>
          <w:left w:w="70" w:type="dxa"/>
          <w:right w:w="70" w:type="dxa"/>
        </w:tblCellMar>
        <w:tblLook w:val="04A0" w:firstRow="1" w:lastRow="0" w:firstColumn="1" w:lastColumn="0" w:noHBand="0" w:noVBand="1"/>
      </w:tblPr>
      <w:tblGrid>
        <w:gridCol w:w="2268"/>
        <w:gridCol w:w="1249"/>
        <w:gridCol w:w="754"/>
        <w:gridCol w:w="794"/>
        <w:gridCol w:w="857"/>
        <w:gridCol w:w="1174"/>
      </w:tblGrid>
      <w:tr w:rsidR="001E68A1" w:rsidRPr="001E68A1" w14:paraId="4075E214" w14:textId="77777777" w:rsidTr="577BF0F5">
        <w:trPr>
          <w:trHeight w:val="298"/>
        </w:trPr>
        <w:tc>
          <w:tcPr>
            <w:tcW w:w="2268" w:type="dxa"/>
            <w:tcBorders>
              <w:top w:val="single" w:sz="8" w:space="0" w:color="535353"/>
              <w:left w:val="single" w:sz="8" w:space="0" w:color="535353"/>
              <w:bottom w:val="single" w:sz="8" w:space="0" w:color="000000" w:themeColor="text1"/>
              <w:right w:val="single" w:sz="8" w:space="0" w:color="000000" w:themeColor="text1"/>
            </w:tcBorders>
            <w:shd w:val="clear" w:color="auto" w:fill="002060"/>
            <w:vAlign w:val="center"/>
            <w:hideMark/>
          </w:tcPr>
          <w:p w14:paraId="0FB817F9" w14:textId="77777777" w:rsidR="00F95C56" w:rsidRDefault="577BF0F5" w:rsidP="0014174E">
            <w:pPr>
              <w:jc w:val="center"/>
              <w:rPr>
                <w:color w:val="FFFFFF" w:themeColor="background1"/>
                <w:sz w:val="20"/>
                <w:szCs w:val="20"/>
                <w:lang w:val="es-CO" w:eastAsia="es-CO"/>
              </w:rPr>
            </w:pPr>
            <w:r w:rsidRPr="577BF0F5">
              <w:rPr>
                <w:color w:val="FFFFFF" w:themeColor="background1"/>
                <w:sz w:val="20"/>
                <w:szCs w:val="20"/>
                <w:lang w:val="es-CO" w:eastAsia="es-CO"/>
              </w:rPr>
              <w:t>Variable</w:t>
            </w:r>
          </w:p>
        </w:tc>
        <w:tc>
          <w:tcPr>
            <w:tcW w:w="1249" w:type="dxa"/>
            <w:tcBorders>
              <w:top w:val="single" w:sz="8" w:space="0" w:color="000000" w:themeColor="text1"/>
              <w:left w:val="nil"/>
              <w:bottom w:val="single" w:sz="8" w:space="0" w:color="000000" w:themeColor="text1"/>
              <w:right w:val="single" w:sz="8" w:space="0" w:color="000000" w:themeColor="text1"/>
            </w:tcBorders>
            <w:shd w:val="clear" w:color="auto" w:fill="002060"/>
            <w:vAlign w:val="center"/>
            <w:hideMark/>
          </w:tcPr>
          <w:p w14:paraId="247C5F16" w14:textId="77777777" w:rsidR="00F95C56" w:rsidRDefault="577BF0F5" w:rsidP="0014174E">
            <w:pPr>
              <w:jc w:val="center"/>
              <w:rPr>
                <w:color w:val="FFFFFF" w:themeColor="background1"/>
                <w:sz w:val="20"/>
                <w:szCs w:val="20"/>
                <w:lang w:val="es-CO" w:eastAsia="es-CO"/>
              </w:rPr>
            </w:pPr>
            <w:r w:rsidRPr="577BF0F5">
              <w:rPr>
                <w:color w:val="FFFFFF" w:themeColor="background1"/>
                <w:sz w:val="20"/>
                <w:szCs w:val="20"/>
                <w:lang w:val="es-CO" w:eastAsia="es-CO"/>
              </w:rPr>
              <w:t>Obs</w:t>
            </w:r>
          </w:p>
        </w:tc>
        <w:tc>
          <w:tcPr>
            <w:tcW w:w="754" w:type="dxa"/>
            <w:tcBorders>
              <w:top w:val="single" w:sz="8" w:space="0" w:color="000000" w:themeColor="text1"/>
              <w:left w:val="nil"/>
              <w:bottom w:val="single" w:sz="8" w:space="0" w:color="000000" w:themeColor="text1"/>
              <w:right w:val="single" w:sz="8" w:space="0" w:color="000000" w:themeColor="text1"/>
            </w:tcBorders>
            <w:shd w:val="clear" w:color="auto" w:fill="002060"/>
            <w:vAlign w:val="center"/>
            <w:hideMark/>
          </w:tcPr>
          <w:p w14:paraId="5258883D" w14:textId="23B92D9B" w:rsidR="00F95C56" w:rsidRDefault="577BF0F5" w:rsidP="0014174E">
            <w:pPr>
              <w:jc w:val="center"/>
              <w:rPr>
                <w:color w:val="FFFFFF" w:themeColor="background1"/>
                <w:sz w:val="20"/>
                <w:szCs w:val="20"/>
                <w:lang w:val="es-CO" w:eastAsia="es-CO"/>
              </w:rPr>
            </w:pPr>
            <w:r w:rsidRPr="577BF0F5">
              <w:rPr>
                <w:color w:val="FFFFFF" w:themeColor="background1"/>
                <w:sz w:val="20"/>
                <w:szCs w:val="20"/>
                <w:lang w:val="es-CO" w:eastAsia="es-CO"/>
              </w:rPr>
              <w:t>Me</w:t>
            </w:r>
            <w:r w:rsidR="00E30B1A">
              <w:rPr>
                <w:color w:val="FFFFFF" w:themeColor="background1"/>
                <w:sz w:val="20"/>
                <w:szCs w:val="20"/>
                <w:lang w:val="es-CO" w:eastAsia="es-CO"/>
              </w:rPr>
              <w:t>dia</w:t>
            </w:r>
          </w:p>
        </w:tc>
        <w:tc>
          <w:tcPr>
            <w:tcW w:w="794" w:type="dxa"/>
            <w:tcBorders>
              <w:top w:val="single" w:sz="8" w:space="0" w:color="000000" w:themeColor="text1"/>
              <w:left w:val="nil"/>
              <w:bottom w:val="single" w:sz="8" w:space="0" w:color="000000" w:themeColor="text1"/>
              <w:right w:val="single" w:sz="8" w:space="0" w:color="000000" w:themeColor="text1"/>
            </w:tcBorders>
            <w:shd w:val="clear" w:color="auto" w:fill="002060"/>
            <w:vAlign w:val="center"/>
            <w:hideMark/>
          </w:tcPr>
          <w:p w14:paraId="296F5D4F" w14:textId="712A493F" w:rsidR="00F95C56" w:rsidRDefault="00E30B1A" w:rsidP="0014174E">
            <w:pPr>
              <w:jc w:val="center"/>
              <w:rPr>
                <w:color w:val="FFFFFF" w:themeColor="background1"/>
                <w:sz w:val="20"/>
                <w:szCs w:val="20"/>
                <w:lang w:val="es-CO" w:eastAsia="es-CO"/>
              </w:rPr>
            </w:pPr>
            <w:r>
              <w:rPr>
                <w:color w:val="FFFFFF" w:themeColor="background1"/>
                <w:sz w:val="20"/>
                <w:szCs w:val="20"/>
                <w:lang w:val="es-CO" w:eastAsia="es-CO"/>
              </w:rPr>
              <w:t>Desv. Est</w:t>
            </w:r>
            <w:r w:rsidR="577BF0F5" w:rsidRPr="577BF0F5">
              <w:rPr>
                <w:color w:val="FFFFFF" w:themeColor="background1"/>
                <w:sz w:val="20"/>
                <w:szCs w:val="20"/>
                <w:lang w:val="es-CO" w:eastAsia="es-CO"/>
              </w:rPr>
              <w:t>.</w:t>
            </w:r>
          </w:p>
        </w:tc>
        <w:tc>
          <w:tcPr>
            <w:tcW w:w="857" w:type="dxa"/>
            <w:tcBorders>
              <w:top w:val="single" w:sz="8" w:space="0" w:color="000000" w:themeColor="text1"/>
              <w:left w:val="nil"/>
              <w:bottom w:val="single" w:sz="8" w:space="0" w:color="000000" w:themeColor="text1"/>
              <w:right w:val="single" w:sz="8" w:space="0" w:color="000000" w:themeColor="text1"/>
            </w:tcBorders>
            <w:shd w:val="clear" w:color="auto" w:fill="002060"/>
            <w:vAlign w:val="center"/>
            <w:hideMark/>
          </w:tcPr>
          <w:p w14:paraId="305B6EAD" w14:textId="77777777" w:rsidR="00F95C56" w:rsidRDefault="577BF0F5" w:rsidP="0014174E">
            <w:pPr>
              <w:jc w:val="center"/>
              <w:rPr>
                <w:color w:val="FFFFFF" w:themeColor="background1"/>
                <w:sz w:val="20"/>
                <w:szCs w:val="20"/>
                <w:lang w:val="es-CO" w:eastAsia="es-CO"/>
              </w:rPr>
            </w:pPr>
            <w:r w:rsidRPr="577BF0F5">
              <w:rPr>
                <w:color w:val="FFFFFF" w:themeColor="background1"/>
                <w:sz w:val="20"/>
                <w:szCs w:val="20"/>
                <w:lang w:val="es-CO" w:eastAsia="es-CO"/>
              </w:rPr>
              <w:t>Min</w:t>
            </w:r>
          </w:p>
        </w:tc>
        <w:tc>
          <w:tcPr>
            <w:tcW w:w="1174" w:type="dxa"/>
            <w:tcBorders>
              <w:top w:val="single" w:sz="8" w:space="0" w:color="000000" w:themeColor="text1"/>
              <w:left w:val="nil"/>
              <w:bottom w:val="single" w:sz="8" w:space="0" w:color="000000" w:themeColor="text1"/>
              <w:right w:val="single" w:sz="8" w:space="0" w:color="000000" w:themeColor="text1"/>
            </w:tcBorders>
            <w:shd w:val="clear" w:color="auto" w:fill="002060"/>
            <w:vAlign w:val="center"/>
            <w:hideMark/>
          </w:tcPr>
          <w:p w14:paraId="3EB1A78F" w14:textId="77777777" w:rsidR="00F95C56" w:rsidRDefault="577BF0F5" w:rsidP="0014174E">
            <w:pPr>
              <w:jc w:val="center"/>
              <w:rPr>
                <w:color w:val="FFFFFF" w:themeColor="background1"/>
                <w:sz w:val="20"/>
                <w:szCs w:val="20"/>
                <w:lang w:val="es-CO" w:eastAsia="es-CO"/>
              </w:rPr>
            </w:pPr>
            <w:r w:rsidRPr="577BF0F5">
              <w:rPr>
                <w:color w:val="FFFFFF" w:themeColor="background1"/>
                <w:sz w:val="20"/>
                <w:szCs w:val="20"/>
                <w:lang w:val="es-CO" w:eastAsia="es-CO"/>
              </w:rPr>
              <w:t>Max</w:t>
            </w:r>
          </w:p>
        </w:tc>
      </w:tr>
      <w:tr w:rsidR="00F13C9D" w:rsidRPr="001E68A1" w14:paraId="0E0F11DC" w14:textId="77777777" w:rsidTr="577BF0F5">
        <w:trPr>
          <w:trHeight w:val="298"/>
        </w:trPr>
        <w:tc>
          <w:tcPr>
            <w:tcW w:w="709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056EFDE6" w14:textId="77777777" w:rsidR="00F95C56" w:rsidRDefault="577BF0F5" w:rsidP="0014174E">
            <w:pPr>
              <w:jc w:val="center"/>
              <w:rPr>
                <w:b/>
                <w:bCs/>
                <w:color w:val="000000" w:themeColor="text1"/>
                <w:sz w:val="18"/>
                <w:szCs w:val="18"/>
                <w:lang w:val="es-CO" w:eastAsia="es-CO"/>
              </w:rPr>
            </w:pPr>
            <w:r w:rsidRPr="577BF0F5">
              <w:rPr>
                <w:b/>
                <w:bCs/>
                <w:color w:val="000000" w:themeColor="text1"/>
                <w:sz w:val="18"/>
                <w:szCs w:val="18"/>
                <w:lang w:val="es-CO" w:eastAsia="es-CO"/>
              </w:rPr>
              <w:t>Variable dependiente</w:t>
            </w:r>
          </w:p>
        </w:tc>
      </w:tr>
      <w:tr w:rsidR="00F13C9D" w:rsidRPr="001E68A1" w14:paraId="7394B34A"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32CEC53"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Apalancamiento</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1D733054"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5403</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6711C9E0" w14:textId="7BAA5C0B"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25</w:t>
            </w:r>
            <w:r w:rsidR="007A272B">
              <w:rPr>
                <w:color w:val="000000" w:themeColor="text1"/>
                <w:sz w:val="18"/>
                <w:szCs w:val="18"/>
                <w:lang w:val="es-CO" w:eastAsia="es-CO"/>
              </w:rPr>
              <w:t>.</w:t>
            </w:r>
            <w:r w:rsidRPr="577BF0F5">
              <w:rPr>
                <w:color w:val="000000" w:themeColor="text1"/>
                <w:sz w:val="18"/>
                <w:szCs w:val="18"/>
                <w:lang w:val="es-CO" w:eastAsia="es-CO"/>
              </w:rPr>
              <w:t>459</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307A7B88" w14:textId="1E712396"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33</w:t>
            </w:r>
            <w:r w:rsidR="007A272B">
              <w:rPr>
                <w:color w:val="000000" w:themeColor="text1"/>
                <w:sz w:val="18"/>
                <w:szCs w:val="18"/>
                <w:lang w:val="es-CO" w:eastAsia="es-CO"/>
              </w:rPr>
              <w:t>.</w:t>
            </w:r>
            <w:r w:rsidRPr="577BF0F5">
              <w:rPr>
                <w:color w:val="000000" w:themeColor="text1"/>
                <w:sz w:val="18"/>
                <w:szCs w:val="18"/>
                <w:lang w:val="es-CO" w:eastAsia="es-CO"/>
              </w:rPr>
              <w:t>8</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65E1CC1F" w14:textId="3A896D4F"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-695</w:t>
            </w:r>
            <w:r w:rsidR="007A272B">
              <w:rPr>
                <w:color w:val="000000" w:themeColor="text1"/>
                <w:sz w:val="18"/>
                <w:szCs w:val="18"/>
                <w:lang w:val="es-CO" w:eastAsia="es-CO"/>
              </w:rPr>
              <w:t>.</w:t>
            </w:r>
            <w:r w:rsidRPr="577BF0F5">
              <w:rPr>
                <w:color w:val="000000" w:themeColor="text1"/>
                <w:sz w:val="18"/>
                <w:szCs w:val="18"/>
                <w:lang w:val="es-CO" w:eastAsia="es-CO"/>
              </w:rPr>
              <w:t>36</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2260B88D" w14:textId="5B4E482A"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312</w:t>
            </w:r>
            <w:r w:rsidR="007A272B">
              <w:rPr>
                <w:color w:val="000000" w:themeColor="text1"/>
                <w:sz w:val="18"/>
                <w:szCs w:val="18"/>
                <w:lang w:val="es-CO" w:eastAsia="es-CO"/>
              </w:rPr>
              <w:t>.</w:t>
            </w:r>
            <w:r w:rsidRPr="577BF0F5">
              <w:rPr>
                <w:color w:val="000000" w:themeColor="text1"/>
                <w:sz w:val="18"/>
                <w:szCs w:val="18"/>
                <w:lang w:val="es-CO" w:eastAsia="es-CO"/>
              </w:rPr>
              <w:t>87</w:t>
            </w:r>
          </w:p>
        </w:tc>
      </w:tr>
      <w:tr w:rsidR="000C15C9" w:rsidRPr="001E68A1" w14:paraId="19D1B2F3" w14:textId="77777777" w:rsidTr="577BF0F5">
        <w:trPr>
          <w:trHeight w:val="298"/>
        </w:trPr>
        <w:tc>
          <w:tcPr>
            <w:tcW w:w="709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AAF1552" w14:textId="0226B988" w:rsidR="00F95C56" w:rsidRDefault="00B5085A" w:rsidP="00B5085A">
            <w:pPr>
              <w:jc w:val="center"/>
              <w:rPr>
                <w:b/>
                <w:bCs/>
                <w:color w:val="000000" w:themeColor="text1"/>
                <w:sz w:val="18"/>
                <w:szCs w:val="18"/>
                <w:lang w:val="es-CO" w:eastAsia="es-CO"/>
              </w:rPr>
            </w:pPr>
            <w:r>
              <w:rPr>
                <w:b/>
                <w:bCs/>
                <w:color w:val="000000" w:themeColor="text1"/>
                <w:sz w:val="18"/>
                <w:szCs w:val="18"/>
                <w:lang w:val="es-CO" w:eastAsia="es-CO"/>
              </w:rPr>
              <w:t>Estab</w:t>
            </w:r>
            <w:r w:rsidR="577BF0F5" w:rsidRPr="577BF0F5">
              <w:rPr>
                <w:b/>
                <w:bCs/>
                <w:color w:val="000000" w:themeColor="text1"/>
                <w:sz w:val="18"/>
                <w:szCs w:val="18"/>
                <w:lang w:val="es-CO" w:eastAsia="es-CO"/>
              </w:rPr>
              <w:t xml:space="preserve">ilidad </w:t>
            </w:r>
            <w:r>
              <w:rPr>
                <w:b/>
                <w:bCs/>
                <w:color w:val="000000" w:themeColor="text1"/>
                <w:sz w:val="18"/>
                <w:szCs w:val="18"/>
                <w:lang w:val="es-CO" w:eastAsia="es-CO"/>
              </w:rPr>
              <w:t>Financiera</w:t>
            </w:r>
          </w:p>
        </w:tc>
      </w:tr>
      <w:tr w:rsidR="001E68A1" w:rsidRPr="001E68A1" w14:paraId="1AE55381"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CCAC4AF"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R_Corriente</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29E82E17"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4582</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4B3CEAE4" w14:textId="009F560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17</w:t>
            </w:r>
            <w:r w:rsidR="007A272B">
              <w:rPr>
                <w:color w:val="000000" w:themeColor="text1"/>
                <w:sz w:val="18"/>
                <w:szCs w:val="18"/>
                <w:lang w:val="es-CO" w:eastAsia="es-CO"/>
              </w:rPr>
              <w:t>.</w:t>
            </w:r>
            <w:r w:rsidRPr="577BF0F5">
              <w:rPr>
                <w:color w:val="000000" w:themeColor="text1"/>
                <w:sz w:val="18"/>
                <w:szCs w:val="18"/>
                <w:lang w:val="es-CO" w:eastAsia="es-CO"/>
              </w:rPr>
              <w:t>895</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7B0C120E" w14:textId="43419632"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w:t>
            </w:r>
            <w:r w:rsidR="007A272B">
              <w:rPr>
                <w:color w:val="000000" w:themeColor="text1"/>
                <w:sz w:val="18"/>
                <w:szCs w:val="18"/>
                <w:lang w:val="es-CO" w:eastAsia="es-CO"/>
              </w:rPr>
              <w:t>.</w:t>
            </w:r>
            <w:r w:rsidRPr="577BF0F5">
              <w:rPr>
                <w:color w:val="000000" w:themeColor="text1"/>
                <w:sz w:val="18"/>
                <w:szCs w:val="18"/>
                <w:lang w:val="es-CO" w:eastAsia="es-CO"/>
              </w:rPr>
              <w:t>673</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191D8C23" w14:textId="1BF9E7D0"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01</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1D95E7AB" w14:textId="4DD6A7EC"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20</w:t>
            </w:r>
            <w:r w:rsidR="007A272B">
              <w:rPr>
                <w:color w:val="000000" w:themeColor="text1"/>
                <w:sz w:val="18"/>
                <w:szCs w:val="18"/>
                <w:lang w:val="es-CO" w:eastAsia="es-CO"/>
              </w:rPr>
              <w:t>.</w:t>
            </w:r>
            <w:r w:rsidRPr="577BF0F5">
              <w:rPr>
                <w:color w:val="000000" w:themeColor="text1"/>
                <w:sz w:val="18"/>
                <w:szCs w:val="18"/>
                <w:lang w:val="es-CO" w:eastAsia="es-CO"/>
              </w:rPr>
              <w:t>05</w:t>
            </w:r>
          </w:p>
        </w:tc>
      </w:tr>
      <w:tr w:rsidR="001E68A1" w:rsidRPr="001E68A1" w14:paraId="68A51381" w14:textId="77777777" w:rsidTr="577BF0F5">
        <w:trPr>
          <w:trHeight w:val="312"/>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AC1412B" w14:textId="023133B0"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dummyPerdidas</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12EE0F80"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5582</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51D56529" w14:textId="56B88FA3"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3264</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0296B090" w14:textId="0CCF5808"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469</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6A002F8B"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242CE049"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w:t>
            </w:r>
          </w:p>
        </w:tc>
      </w:tr>
      <w:tr w:rsidR="001E68A1" w:rsidRPr="001E68A1" w14:paraId="74889274" w14:textId="77777777" w:rsidTr="577BF0F5">
        <w:trPr>
          <w:trHeight w:val="298"/>
        </w:trPr>
        <w:tc>
          <w:tcPr>
            <w:tcW w:w="709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1FEA248A" w14:textId="22A84730" w:rsidR="00F95C56" w:rsidRDefault="0068744E" w:rsidP="0014174E">
            <w:pPr>
              <w:jc w:val="center"/>
              <w:rPr>
                <w:b/>
                <w:bCs/>
                <w:color w:val="000000" w:themeColor="text1"/>
                <w:sz w:val="18"/>
                <w:szCs w:val="18"/>
                <w:lang w:val="es-CO" w:eastAsia="es-CO"/>
              </w:rPr>
            </w:pPr>
            <w:r>
              <w:rPr>
                <w:b/>
                <w:bCs/>
                <w:color w:val="000000" w:themeColor="text1"/>
                <w:sz w:val="18"/>
                <w:szCs w:val="18"/>
                <w:lang w:val="es-CO" w:eastAsia="es-CO"/>
              </w:rPr>
              <w:t xml:space="preserve">Desempeño </w:t>
            </w:r>
            <w:r w:rsidR="00B5085A">
              <w:rPr>
                <w:b/>
                <w:bCs/>
                <w:color w:val="000000" w:themeColor="text1"/>
                <w:sz w:val="18"/>
                <w:szCs w:val="18"/>
                <w:lang w:val="es-CO" w:eastAsia="es-CO"/>
              </w:rPr>
              <w:t xml:space="preserve">del </w:t>
            </w:r>
            <w:r>
              <w:rPr>
                <w:b/>
                <w:bCs/>
                <w:color w:val="000000" w:themeColor="text1"/>
                <w:sz w:val="18"/>
                <w:szCs w:val="18"/>
                <w:lang w:val="es-CO" w:eastAsia="es-CO"/>
              </w:rPr>
              <w:t>Sector</w:t>
            </w:r>
          </w:p>
        </w:tc>
      </w:tr>
      <w:tr w:rsidR="001E68A1" w:rsidRPr="001E68A1" w14:paraId="68ACB364"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667618E" w14:textId="5B4C3E7E"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lastRenderedPageBreak/>
              <w:t>dummysector 1</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37165057"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5582</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6E14E595" w14:textId="4CD352F6"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5552</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32B86603" w14:textId="6071B3A6"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497</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672E55AF"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7799F72F"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w:t>
            </w:r>
          </w:p>
        </w:tc>
      </w:tr>
      <w:tr w:rsidR="001E68A1" w:rsidRPr="001E68A1" w14:paraId="5B72E1C3" w14:textId="77777777" w:rsidTr="577BF0F5">
        <w:trPr>
          <w:trHeight w:val="469"/>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46B0421" w14:textId="6A90A1D8"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crecimientoDecrecimiento</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588A490B"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5406</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4C2109C8" w14:textId="499E70CD"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268</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2A810EE1" w14:textId="492477EC"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4</w:t>
            </w:r>
            <w:r w:rsidR="007A272B">
              <w:rPr>
                <w:color w:val="000000" w:themeColor="text1"/>
                <w:sz w:val="18"/>
                <w:szCs w:val="18"/>
                <w:lang w:val="es-CO" w:eastAsia="es-CO"/>
              </w:rPr>
              <w:t>.</w:t>
            </w:r>
            <w:r w:rsidRPr="577BF0F5">
              <w:rPr>
                <w:color w:val="000000" w:themeColor="text1"/>
                <w:sz w:val="18"/>
                <w:szCs w:val="18"/>
                <w:lang w:val="es-CO" w:eastAsia="es-CO"/>
              </w:rPr>
              <w:t>57</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3424A3AF" w14:textId="466FC186"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-82</w:t>
            </w:r>
            <w:r w:rsidR="007A272B">
              <w:rPr>
                <w:color w:val="000000" w:themeColor="text1"/>
                <w:sz w:val="18"/>
                <w:szCs w:val="18"/>
                <w:lang w:val="es-CO" w:eastAsia="es-CO"/>
              </w:rPr>
              <w:t>.</w:t>
            </w:r>
            <w:r w:rsidRPr="577BF0F5">
              <w:rPr>
                <w:color w:val="000000" w:themeColor="text1"/>
                <w:sz w:val="18"/>
                <w:szCs w:val="18"/>
                <w:lang w:val="es-CO" w:eastAsia="es-CO"/>
              </w:rPr>
              <w:t>667</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7CA83129" w14:textId="25EC12E8"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286</w:t>
            </w:r>
            <w:r w:rsidR="007A272B">
              <w:rPr>
                <w:color w:val="000000" w:themeColor="text1"/>
                <w:sz w:val="18"/>
                <w:szCs w:val="18"/>
                <w:lang w:val="es-CO" w:eastAsia="es-CO"/>
              </w:rPr>
              <w:t>.</w:t>
            </w:r>
            <w:r w:rsidRPr="577BF0F5">
              <w:rPr>
                <w:color w:val="000000" w:themeColor="text1"/>
                <w:sz w:val="18"/>
                <w:szCs w:val="18"/>
                <w:lang w:val="es-CO" w:eastAsia="es-CO"/>
              </w:rPr>
              <w:t>667</w:t>
            </w:r>
          </w:p>
        </w:tc>
      </w:tr>
      <w:tr w:rsidR="001E68A1" w:rsidRPr="001E68A1" w14:paraId="704F3F5F"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14BD705" w14:textId="499DD84D"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dummysector2</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3584CB36"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5574</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42749BC7" w14:textId="07C41DFA"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5342</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0E88EDDF" w14:textId="72A3CB48"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498</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361A4FEA"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2A789DEC"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w:t>
            </w:r>
          </w:p>
        </w:tc>
      </w:tr>
      <w:tr w:rsidR="001E68A1" w:rsidRPr="001E68A1" w14:paraId="2F012931" w14:textId="77777777" w:rsidTr="003D2258">
        <w:trPr>
          <w:trHeight w:val="311"/>
        </w:trPr>
        <w:tc>
          <w:tcPr>
            <w:tcW w:w="7096"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vAlign w:val="center"/>
            <w:hideMark/>
          </w:tcPr>
          <w:p w14:paraId="2B3F1B25" w14:textId="77777777" w:rsidR="00F95C56" w:rsidRDefault="577BF0F5" w:rsidP="0014174E">
            <w:pPr>
              <w:jc w:val="center"/>
              <w:rPr>
                <w:b/>
                <w:bCs/>
                <w:color w:val="000000" w:themeColor="text1"/>
                <w:sz w:val="18"/>
                <w:szCs w:val="18"/>
                <w:lang w:val="es-CO" w:eastAsia="es-CO"/>
              </w:rPr>
            </w:pPr>
            <w:r w:rsidRPr="577BF0F5">
              <w:rPr>
                <w:b/>
                <w:bCs/>
                <w:color w:val="000000" w:themeColor="text1"/>
                <w:sz w:val="18"/>
                <w:szCs w:val="18"/>
                <w:lang w:val="es-CO" w:eastAsia="es-CO"/>
              </w:rPr>
              <w:t>Variables de control</w:t>
            </w:r>
          </w:p>
        </w:tc>
      </w:tr>
      <w:tr w:rsidR="001E68A1" w:rsidRPr="001E68A1" w14:paraId="5B1BB6B1"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A9612F8"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Per</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4A628996"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3726</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414522FF" w14:textId="5C09C4A3"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117</w:t>
            </w:r>
            <w:r w:rsidR="007A272B">
              <w:rPr>
                <w:color w:val="000000" w:themeColor="text1"/>
                <w:sz w:val="18"/>
                <w:szCs w:val="18"/>
                <w:lang w:val="es-CO" w:eastAsia="es-CO"/>
              </w:rPr>
              <w:t>.</w:t>
            </w:r>
            <w:r w:rsidRPr="577BF0F5">
              <w:rPr>
                <w:color w:val="000000" w:themeColor="text1"/>
                <w:sz w:val="18"/>
                <w:szCs w:val="18"/>
                <w:lang w:val="es-CO" w:eastAsia="es-CO"/>
              </w:rPr>
              <w:t>34</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145C72DF" w14:textId="382BDB1C"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785</w:t>
            </w:r>
            <w:r w:rsidR="007A272B">
              <w:rPr>
                <w:color w:val="000000" w:themeColor="text1"/>
                <w:sz w:val="18"/>
                <w:szCs w:val="18"/>
                <w:lang w:val="es-CO" w:eastAsia="es-CO"/>
              </w:rPr>
              <w:t>.</w:t>
            </w:r>
            <w:r w:rsidRPr="577BF0F5">
              <w:rPr>
                <w:color w:val="000000" w:themeColor="text1"/>
                <w:sz w:val="18"/>
                <w:szCs w:val="18"/>
                <w:lang w:val="es-CO" w:eastAsia="es-CO"/>
              </w:rPr>
              <w:t>9</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39AF8D82" w14:textId="5572B2CD"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1</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1ED48C6B" w14:textId="02BD6A00"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13500</w:t>
            </w:r>
            <w:r w:rsidR="007A272B">
              <w:rPr>
                <w:color w:val="000000" w:themeColor="text1"/>
                <w:sz w:val="18"/>
                <w:szCs w:val="18"/>
                <w:lang w:val="es-CO" w:eastAsia="es-CO"/>
              </w:rPr>
              <w:t>.</w:t>
            </w:r>
            <w:r w:rsidRPr="577BF0F5">
              <w:rPr>
                <w:color w:val="000000" w:themeColor="text1"/>
                <w:sz w:val="18"/>
                <w:szCs w:val="18"/>
                <w:lang w:val="es-CO" w:eastAsia="es-CO"/>
              </w:rPr>
              <w:t>9</w:t>
            </w:r>
          </w:p>
        </w:tc>
      </w:tr>
      <w:tr w:rsidR="001E68A1" w:rsidRPr="001E68A1" w14:paraId="0483B591" w14:textId="77777777" w:rsidTr="577BF0F5">
        <w:trPr>
          <w:trHeight w:val="469"/>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13C8BA0" w14:textId="243ACCD6"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tamañoEmpresa_M</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1AC56579"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4382</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21D29F76" w14:textId="6359F13D"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2578</w:t>
            </w:r>
            <w:r w:rsidR="007A272B">
              <w:rPr>
                <w:color w:val="000000" w:themeColor="text1"/>
                <w:sz w:val="18"/>
                <w:szCs w:val="18"/>
                <w:lang w:val="es-CO" w:eastAsia="es-CO"/>
              </w:rPr>
              <w:t>.</w:t>
            </w:r>
            <w:r w:rsidRPr="577BF0F5">
              <w:rPr>
                <w:color w:val="000000" w:themeColor="text1"/>
                <w:sz w:val="18"/>
                <w:szCs w:val="18"/>
                <w:lang w:val="es-CO" w:eastAsia="es-CO"/>
              </w:rPr>
              <w:t>5</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283C36CE"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12709</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290F3482"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475E377E" w14:textId="7E750BCE"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224</w:t>
            </w:r>
            <w:r w:rsidR="00152F39">
              <w:rPr>
                <w:color w:val="000000" w:themeColor="text1"/>
                <w:sz w:val="18"/>
                <w:szCs w:val="18"/>
                <w:lang w:val="es-CO" w:eastAsia="es-CO"/>
              </w:rPr>
              <w:t>,</w:t>
            </w:r>
            <w:r w:rsidRPr="577BF0F5">
              <w:rPr>
                <w:color w:val="000000" w:themeColor="text1"/>
                <w:sz w:val="18"/>
                <w:szCs w:val="18"/>
                <w:lang w:val="es-CO" w:eastAsia="es-CO"/>
              </w:rPr>
              <w:t>497</w:t>
            </w:r>
            <w:r w:rsidR="007A272B">
              <w:rPr>
                <w:color w:val="000000" w:themeColor="text1"/>
                <w:sz w:val="18"/>
                <w:szCs w:val="18"/>
                <w:lang w:val="es-CO" w:eastAsia="es-CO"/>
              </w:rPr>
              <w:t>.</w:t>
            </w:r>
            <w:r w:rsidRPr="577BF0F5">
              <w:rPr>
                <w:color w:val="000000" w:themeColor="text1"/>
                <w:sz w:val="18"/>
                <w:szCs w:val="18"/>
                <w:lang w:val="es-CO" w:eastAsia="es-CO"/>
              </w:rPr>
              <w:t>2</w:t>
            </w:r>
          </w:p>
        </w:tc>
      </w:tr>
      <w:tr w:rsidR="001E68A1" w:rsidRPr="001E68A1" w14:paraId="36BD265D" w14:textId="77777777" w:rsidTr="577BF0F5">
        <w:trPr>
          <w:trHeight w:val="469"/>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BD93884" w14:textId="32C0E073"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rentabilidadActivos</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675A0CAC"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5047</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04A511D5" w14:textId="3F464971"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10</w:t>
            </w:r>
            <w:r w:rsidR="007A272B">
              <w:rPr>
                <w:color w:val="000000" w:themeColor="text1"/>
                <w:sz w:val="18"/>
                <w:szCs w:val="18"/>
                <w:lang w:val="es-CO" w:eastAsia="es-CO"/>
              </w:rPr>
              <w:t>.</w:t>
            </w:r>
            <w:r w:rsidRPr="577BF0F5">
              <w:rPr>
                <w:color w:val="000000" w:themeColor="text1"/>
                <w:sz w:val="18"/>
                <w:szCs w:val="18"/>
                <w:lang w:val="es-CO" w:eastAsia="es-CO"/>
              </w:rPr>
              <w:t>523</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4BA9C8B5" w14:textId="699417B2"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23</w:t>
            </w:r>
            <w:r w:rsidR="007A272B">
              <w:rPr>
                <w:color w:val="000000" w:themeColor="text1"/>
                <w:sz w:val="18"/>
                <w:szCs w:val="18"/>
                <w:lang w:val="es-CO" w:eastAsia="es-CO"/>
              </w:rPr>
              <w:t>.</w:t>
            </w:r>
            <w:r w:rsidRPr="577BF0F5">
              <w:rPr>
                <w:color w:val="000000" w:themeColor="text1"/>
                <w:sz w:val="18"/>
                <w:szCs w:val="18"/>
                <w:lang w:val="es-CO" w:eastAsia="es-CO"/>
              </w:rPr>
              <w:t>42</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4B85A7A9" w14:textId="3E4F8D9B"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-171</w:t>
            </w:r>
            <w:r w:rsidR="007A272B">
              <w:rPr>
                <w:color w:val="000000" w:themeColor="text1"/>
                <w:sz w:val="18"/>
                <w:szCs w:val="18"/>
                <w:lang w:val="es-CO" w:eastAsia="es-CO"/>
              </w:rPr>
              <w:t>.</w:t>
            </w:r>
            <w:r w:rsidRPr="577BF0F5">
              <w:rPr>
                <w:color w:val="000000" w:themeColor="text1"/>
                <w:sz w:val="18"/>
                <w:szCs w:val="18"/>
                <w:lang w:val="es-CO" w:eastAsia="es-CO"/>
              </w:rPr>
              <w:t>55</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617DEB6A" w14:textId="2DD3EF8C"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604</w:t>
            </w:r>
            <w:r w:rsidR="007A272B">
              <w:rPr>
                <w:color w:val="000000" w:themeColor="text1"/>
                <w:sz w:val="18"/>
                <w:szCs w:val="18"/>
                <w:lang w:val="es-CO" w:eastAsia="es-CO"/>
              </w:rPr>
              <w:t>.</w:t>
            </w:r>
            <w:r w:rsidRPr="577BF0F5">
              <w:rPr>
                <w:color w:val="000000" w:themeColor="text1"/>
                <w:sz w:val="18"/>
                <w:szCs w:val="18"/>
                <w:lang w:val="es-CO" w:eastAsia="es-CO"/>
              </w:rPr>
              <w:t>25</w:t>
            </w:r>
          </w:p>
        </w:tc>
      </w:tr>
      <w:tr w:rsidR="001E68A1" w:rsidRPr="001E68A1" w14:paraId="3A642E67" w14:textId="77777777" w:rsidTr="577BF0F5">
        <w:trPr>
          <w:trHeight w:val="469"/>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17583FF" w14:textId="44691096"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impuestosDiferidos_M</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645588AE"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3031</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40695A25" w14:textId="3B6DC19F"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-22</w:t>
            </w:r>
            <w:r w:rsidR="007A272B">
              <w:rPr>
                <w:color w:val="000000" w:themeColor="text1"/>
                <w:sz w:val="18"/>
                <w:szCs w:val="18"/>
                <w:lang w:val="es-CO" w:eastAsia="es-CO"/>
              </w:rPr>
              <w:t>.</w:t>
            </w:r>
            <w:r w:rsidRPr="577BF0F5">
              <w:rPr>
                <w:color w:val="000000" w:themeColor="text1"/>
                <w:sz w:val="18"/>
                <w:szCs w:val="18"/>
                <w:lang w:val="es-CO" w:eastAsia="es-CO"/>
              </w:rPr>
              <w:t>121</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24B41C9A" w14:textId="15A96BD5"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126</w:t>
            </w:r>
            <w:r w:rsidR="007A272B">
              <w:rPr>
                <w:color w:val="000000" w:themeColor="text1"/>
                <w:sz w:val="18"/>
                <w:szCs w:val="18"/>
                <w:lang w:val="es-CO" w:eastAsia="es-CO"/>
              </w:rPr>
              <w:t>.</w:t>
            </w:r>
            <w:r w:rsidRPr="577BF0F5">
              <w:rPr>
                <w:color w:val="000000" w:themeColor="text1"/>
                <w:sz w:val="18"/>
                <w:szCs w:val="18"/>
                <w:lang w:val="es-CO" w:eastAsia="es-CO"/>
              </w:rPr>
              <w:t>5</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2CBA0DA6" w14:textId="05428794"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-1905</w:t>
            </w:r>
            <w:r w:rsidR="007A272B">
              <w:rPr>
                <w:color w:val="000000" w:themeColor="text1"/>
                <w:sz w:val="18"/>
                <w:szCs w:val="18"/>
                <w:lang w:val="es-CO" w:eastAsia="es-CO"/>
              </w:rPr>
              <w:t>.</w:t>
            </w:r>
            <w:r w:rsidRPr="577BF0F5">
              <w:rPr>
                <w:color w:val="000000" w:themeColor="text1"/>
                <w:sz w:val="18"/>
                <w:szCs w:val="18"/>
                <w:lang w:val="es-CO" w:eastAsia="es-CO"/>
              </w:rPr>
              <w:t>2</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78AA5AA4" w14:textId="1CC1102E"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476</w:t>
            </w:r>
            <w:r w:rsidR="007A272B">
              <w:rPr>
                <w:color w:val="000000" w:themeColor="text1"/>
                <w:sz w:val="18"/>
                <w:szCs w:val="18"/>
                <w:lang w:val="es-CO" w:eastAsia="es-CO"/>
              </w:rPr>
              <w:t>.</w:t>
            </w:r>
            <w:r w:rsidRPr="577BF0F5">
              <w:rPr>
                <w:color w:val="000000" w:themeColor="text1"/>
                <w:sz w:val="18"/>
                <w:szCs w:val="18"/>
                <w:lang w:val="es-CO" w:eastAsia="es-CO"/>
              </w:rPr>
              <w:t>85</w:t>
            </w:r>
          </w:p>
        </w:tc>
      </w:tr>
      <w:tr w:rsidR="001E68A1" w:rsidRPr="001E68A1" w14:paraId="01AF7ED5"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05503C1" w14:textId="37EA4ED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tasaImpuestos</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487DD0E3"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4395</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1DC38323" w14:textId="680AB561"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40</w:t>
            </w:r>
            <w:r w:rsidR="007A272B">
              <w:rPr>
                <w:color w:val="000000" w:themeColor="text1"/>
                <w:sz w:val="18"/>
                <w:szCs w:val="18"/>
                <w:lang w:val="es-CO" w:eastAsia="es-CO"/>
              </w:rPr>
              <w:t>.</w:t>
            </w:r>
            <w:r w:rsidRPr="577BF0F5">
              <w:rPr>
                <w:color w:val="000000" w:themeColor="text1"/>
                <w:sz w:val="18"/>
                <w:szCs w:val="18"/>
                <w:lang w:val="es-CO" w:eastAsia="es-CO"/>
              </w:rPr>
              <w:t>289</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708A940D" w14:textId="2D27669B"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139</w:t>
            </w:r>
            <w:r w:rsidR="007A272B">
              <w:rPr>
                <w:color w:val="000000" w:themeColor="text1"/>
                <w:sz w:val="18"/>
                <w:szCs w:val="18"/>
                <w:lang w:val="es-CO" w:eastAsia="es-CO"/>
              </w:rPr>
              <w:t>.</w:t>
            </w:r>
            <w:r w:rsidRPr="577BF0F5">
              <w:rPr>
                <w:color w:val="000000" w:themeColor="text1"/>
                <w:sz w:val="18"/>
                <w:szCs w:val="18"/>
                <w:lang w:val="es-CO" w:eastAsia="es-CO"/>
              </w:rPr>
              <w:t>9</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0F5EBBB9"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40546B91" w14:textId="71D991B9"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3312</w:t>
            </w:r>
            <w:r w:rsidR="007A272B">
              <w:rPr>
                <w:color w:val="000000" w:themeColor="text1"/>
                <w:sz w:val="18"/>
                <w:szCs w:val="18"/>
                <w:lang w:val="es-CO" w:eastAsia="es-CO"/>
              </w:rPr>
              <w:t>.</w:t>
            </w:r>
            <w:r w:rsidRPr="577BF0F5">
              <w:rPr>
                <w:color w:val="000000" w:themeColor="text1"/>
                <w:sz w:val="18"/>
                <w:szCs w:val="18"/>
                <w:lang w:val="es-CO" w:eastAsia="es-CO"/>
              </w:rPr>
              <w:t>69</w:t>
            </w:r>
          </w:p>
        </w:tc>
      </w:tr>
      <w:tr w:rsidR="001E68A1" w:rsidRPr="001E68A1" w14:paraId="47B4494F" w14:textId="77777777" w:rsidTr="577BF0F5">
        <w:trPr>
          <w:trHeight w:val="469"/>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4A16D19" w14:textId="48A24548"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tasaImpuestos5Años</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7FE32901"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2542</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48A902CC" w14:textId="33B70480"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32</w:t>
            </w:r>
            <w:r w:rsidR="007A272B">
              <w:rPr>
                <w:color w:val="000000" w:themeColor="text1"/>
                <w:sz w:val="18"/>
                <w:szCs w:val="18"/>
                <w:lang w:val="es-CO" w:eastAsia="es-CO"/>
              </w:rPr>
              <w:t>.</w:t>
            </w:r>
            <w:r w:rsidRPr="577BF0F5">
              <w:rPr>
                <w:color w:val="000000" w:themeColor="text1"/>
                <w:sz w:val="18"/>
                <w:szCs w:val="18"/>
                <w:lang w:val="es-CO" w:eastAsia="es-CO"/>
              </w:rPr>
              <w:t>278</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16DD3AA2" w14:textId="6B004DDF"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26</w:t>
            </w:r>
            <w:r w:rsidR="007A272B">
              <w:rPr>
                <w:color w:val="000000" w:themeColor="text1"/>
                <w:sz w:val="18"/>
                <w:szCs w:val="18"/>
                <w:lang w:val="es-CO" w:eastAsia="es-CO"/>
              </w:rPr>
              <w:t>.</w:t>
            </w:r>
            <w:r w:rsidRPr="577BF0F5">
              <w:rPr>
                <w:color w:val="000000" w:themeColor="text1"/>
                <w:sz w:val="18"/>
                <w:szCs w:val="18"/>
                <w:lang w:val="es-CO" w:eastAsia="es-CO"/>
              </w:rPr>
              <w:t>78</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401F0941"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01B2E97E" w14:textId="0AD8A71D"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349</w:t>
            </w:r>
            <w:r w:rsidR="007A272B">
              <w:rPr>
                <w:color w:val="000000" w:themeColor="text1"/>
                <w:sz w:val="18"/>
                <w:szCs w:val="18"/>
                <w:lang w:val="es-CO" w:eastAsia="es-CO"/>
              </w:rPr>
              <w:t>.</w:t>
            </w:r>
            <w:r w:rsidRPr="577BF0F5">
              <w:rPr>
                <w:color w:val="000000" w:themeColor="text1"/>
                <w:sz w:val="18"/>
                <w:szCs w:val="18"/>
                <w:lang w:val="es-CO" w:eastAsia="es-CO"/>
              </w:rPr>
              <w:t>18</w:t>
            </w:r>
          </w:p>
        </w:tc>
      </w:tr>
      <w:tr w:rsidR="001E68A1" w:rsidRPr="001E68A1" w14:paraId="7BA3B679" w14:textId="77777777" w:rsidTr="577BF0F5">
        <w:trPr>
          <w:trHeight w:val="269"/>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6A6D40ED" w14:textId="090F0EF2"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deudaExterna_M</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7C60C426"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5465</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2751CFE8" w14:textId="4648B48B"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99</w:t>
            </w:r>
            <w:r w:rsidR="00152F39">
              <w:rPr>
                <w:color w:val="000000" w:themeColor="text1"/>
                <w:sz w:val="18"/>
                <w:szCs w:val="18"/>
                <w:lang w:val="es-CO" w:eastAsia="es-CO"/>
              </w:rPr>
              <w:t>.</w:t>
            </w:r>
            <w:r w:rsidRPr="577BF0F5">
              <w:rPr>
                <w:color w:val="000000" w:themeColor="text1"/>
                <w:sz w:val="18"/>
                <w:szCs w:val="18"/>
                <w:lang w:val="es-CO" w:eastAsia="es-CO"/>
              </w:rPr>
              <w:t>64</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08A1B28E" w14:textId="1F1793EC"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35</w:t>
            </w:r>
            <w:r w:rsidR="00152F39">
              <w:rPr>
                <w:color w:val="000000" w:themeColor="text1"/>
                <w:sz w:val="18"/>
                <w:szCs w:val="18"/>
                <w:lang w:val="es-CO" w:eastAsia="es-CO"/>
              </w:rPr>
              <w:t>.</w:t>
            </w:r>
            <w:r w:rsidRPr="577BF0F5">
              <w:rPr>
                <w:color w:val="000000" w:themeColor="text1"/>
                <w:sz w:val="18"/>
                <w:szCs w:val="18"/>
                <w:lang w:val="es-CO" w:eastAsia="es-CO"/>
              </w:rPr>
              <w:t>67</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3E4B98B3" w14:textId="0B094370"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37</w:t>
            </w:r>
            <w:r w:rsidR="0095006A">
              <w:rPr>
                <w:color w:val="000000" w:themeColor="text1"/>
                <w:sz w:val="18"/>
                <w:szCs w:val="18"/>
                <w:lang w:val="es-CO" w:eastAsia="es-CO"/>
              </w:rPr>
              <w:t>.</w:t>
            </w:r>
            <w:r w:rsidRPr="577BF0F5">
              <w:rPr>
                <w:color w:val="000000" w:themeColor="text1"/>
                <w:sz w:val="18"/>
                <w:szCs w:val="18"/>
                <w:lang w:val="es-CO" w:eastAsia="es-CO"/>
              </w:rPr>
              <w:t>16</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752DDDD2" w14:textId="210B4863"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165</w:t>
            </w:r>
            <w:r w:rsidR="00152F39">
              <w:rPr>
                <w:color w:val="000000" w:themeColor="text1"/>
                <w:sz w:val="18"/>
                <w:szCs w:val="18"/>
                <w:lang w:val="es-CO" w:eastAsia="es-CO"/>
              </w:rPr>
              <w:t>.</w:t>
            </w:r>
            <w:r w:rsidRPr="577BF0F5">
              <w:rPr>
                <w:color w:val="000000" w:themeColor="text1"/>
                <w:sz w:val="18"/>
                <w:szCs w:val="18"/>
                <w:lang w:val="es-CO" w:eastAsia="es-CO"/>
              </w:rPr>
              <w:t>69</w:t>
            </w:r>
          </w:p>
        </w:tc>
      </w:tr>
      <w:tr w:rsidR="001E68A1" w:rsidRPr="001E68A1" w14:paraId="227AE5F4"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29C4375" w14:textId="59C8E58F"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deudaInterna_M</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4FD4B0F3"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5465</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2D954520" w14:textId="359C8839"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68</w:t>
            </w:r>
            <w:r w:rsidR="00152F39">
              <w:rPr>
                <w:color w:val="000000" w:themeColor="text1"/>
                <w:sz w:val="18"/>
                <w:szCs w:val="18"/>
                <w:lang w:val="es-CO" w:eastAsia="es-CO"/>
              </w:rPr>
              <w:t>.</w:t>
            </w:r>
            <w:r w:rsidRPr="577BF0F5">
              <w:rPr>
                <w:color w:val="000000" w:themeColor="text1"/>
                <w:sz w:val="18"/>
                <w:szCs w:val="18"/>
                <w:lang w:val="es-CO" w:eastAsia="es-CO"/>
              </w:rPr>
              <w:t>338</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5289B736" w14:textId="3AFDEA00"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6</w:t>
            </w:r>
            <w:r w:rsidR="00152F39">
              <w:rPr>
                <w:color w:val="000000" w:themeColor="text1"/>
                <w:sz w:val="18"/>
                <w:szCs w:val="18"/>
                <w:lang w:val="es-CO" w:eastAsia="es-CO"/>
              </w:rPr>
              <w:t>.</w:t>
            </w:r>
            <w:r w:rsidRPr="577BF0F5">
              <w:rPr>
                <w:color w:val="000000" w:themeColor="text1"/>
                <w:sz w:val="18"/>
                <w:szCs w:val="18"/>
                <w:lang w:val="es-CO" w:eastAsia="es-CO"/>
              </w:rPr>
              <w:t>246</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0846839D" w14:textId="3DB3E5D5"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7</w:t>
            </w:r>
            <w:r w:rsidR="00152F39">
              <w:rPr>
                <w:color w:val="000000" w:themeColor="text1"/>
                <w:sz w:val="18"/>
                <w:szCs w:val="18"/>
                <w:lang w:val="es-CO" w:eastAsia="es-CO"/>
              </w:rPr>
              <w:t>.</w:t>
            </w:r>
            <w:r w:rsidRPr="577BF0F5">
              <w:rPr>
                <w:color w:val="000000" w:themeColor="text1"/>
                <w:sz w:val="18"/>
                <w:szCs w:val="18"/>
                <w:lang w:val="es-CO" w:eastAsia="es-CO"/>
              </w:rPr>
              <w:t>78</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1433CE38" w14:textId="0C9F9DE0"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195</w:t>
            </w:r>
            <w:r w:rsidR="00152F39">
              <w:rPr>
                <w:color w:val="000000" w:themeColor="text1"/>
                <w:sz w:val="18"/>
                <w:szCs w:val="18"/>
                <w:lang w:val="es-CO" w:eastAsia="es-CO"/>
              </w:rPr>
              <w:t>.</w:t>
            </w:r>
            <w:r w:rsidRPr="577BF0F5">
              <w:rPr>
                <w:color w:val="000000" w:themeColor="text1"/>
                <w:sz w:val="18"/>
                <w:szCs w:val="18"/>
                <w:lang w:val="es-CO" w:eastAsia="es-CO"/>
              </w:rPr>
              <w:t>61</w:t>
            </w:r>
            <w:r w:rsidR="007A272B">
              <w:rPr>
                <w:color w:val="000000" w:themeColor="text1"/>
                <w:sz w:val="18"/>
                <w:szCs w:val="18"/>
                <w:lang w:val="es-CO" w:eastAsia="es-CO"/>
              </w:rPr>
              <w:t>0</w:t>
            </w:r>
          </w:p>
        </w:tc>
      </w:tr>
      <w:tr w:rsidR="001E68A1" w:rsidRPr="001E68A1" w14:paraId="6247E0E8"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5FD4908A" w14:textId="3999364C"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pibSector_M</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78B9E23C"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5578</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0E290B6A" w14:textId="406C98C1"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6</w:t>
            </w:r>
            <w:r w:rsidR="00152F39">
              <w:rPr>
                <w:color w:val="000000" w:themeColor="text1"/>
                <w:sz w:val="18"/>
                <w:szCs w:val="18"/>
                <w:lang w:val="es-CO" w:eastAsia="es-CO"/>
              </w:rPr>
              <w:t>.</w:t>
            </w:r>
            <w:r w:rsidRPr="577BF0F5">
              <w:rPr>
                <w:color w:val="000000" w:themeColor="text1"/>
                <w:sz w:val="18"/>
                <w:szCs w:val="18"/>
                <w:lang w:val="es-CO" w:eastAsia="es-CO"/>
              </w:rPr>
              <w:t>1667</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57A79F79" w14:textId="556AD312"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11</w:t>
            </w:r>
            <w:r w:rsidR="00152F39">
              <w:rPr>
                <w:color w:val="000000" w:themeColor="text1"/>
                <w:sz w:val="18"/>
                <w:szCs w:val="18"/>
                <w:lang w:val="es-CO" w:eastAsia="es-CO"/>
              </w:rPr>
              <w:t>.</w:t>
            </w:r>
            <w:r w:rsidRPr="577BF0F5">
              <w:rPr>
                <w:color w:val="000000" w:themeColor="text1"/>
                <w:sz w:val="18"/>
                <w:szCs w:val="18"/>
                <w:lang w:val="es-CO" w:eastAsia="es-CO"/>
              </w:rPr>
              <w:t>71</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549DC71D" w14:textId="1CAE0534"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-197</w:t>
            </w:r>
            <w:r w:rsidR="00152F39">
              <w:rPr>
                <w:color w:val="000000" w:themeColor="text1"/>
                <w:sz w:val="18"/>
                <w:szCs w:val="18"/>
                <w:lang w:val="es-CO" w:eastAsia="es-CO"/>
              </w:rPr>
              <w:t>.</w:t>
            </w:r>
            <w:r w:rsidRPr="577BF0F5">
              <w:rPr>
                <w:color w:val="000000" w:themeColor="text1"/>
                <w:sz w:val="18"/>
                <w:szCs w:val="18"/>
                <w:lang w:val="es-CO" w:eastAsia="es-CO"/>
              </w:rPr>
              <w:t>6</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43EC7B6D" w14:textId="36629182"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153</w:t>
            </w:r>
            <w:r w:rsidR="00152F39">
              <w:rPr>
                <w:color w:val="000000" w:themeColor="text1"/>
                <w:sz w:val="18"/>
                <w:szCs w:val="18"/>
                <w:lang w:val="es-CO" w:eastAsia="es-CO"/>
              </w:rPr>
              <w:t>.</w:t>
            </w:r>
            <w:r w:rsidRPr="577BF0F5">
              <w:rPr>
                <w:color w:val="000000" w:themeColor="text1"/>
                <w:sz w:val="18"/>
                <w:szCs w:val="18"/>
                <w:lang w:val="es-CO" w:eastAsia="es-CO"/>
              </w:rPr>
              <w:t>5</w:t>
            </w:r>
          </w:p>
        </w:tc>
      </w:tr>
      <w:tr w:rsidR="001E68A1" w:rsidRPr="001E68A1" w14:paraId="7D0D4611" w14:textId="77777777" w:rsidTr="0095006A">
        <w:trPr>
          <w:trHeight w:val="352"/>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7A8C1C17"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Roa 2</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6C1E8933"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4715</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6A826AA0" w14:textId="5CBF7ECF"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1104</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28417B21" w14:textId="3252B87A"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0</w:t>
            </w:r>
            <w:r w:rsidR="007A272B">
              <w:rPr>
                <w:color w:val="000000" w:themeColor="text1"/>
                <w:sz w:val="18"/>
                <w:szCs w:val="18"/>
                <w:lang w:val="es-CO" w:eastAsia="es-CO"/>
              </w:rPr>
              <w:t>.</w:t>
            </w:r>
            <w:r w:rsidRPr="577BF0F5">
              <w:rPr>
                <w:color w:val="000000" w:themeColor="text1"/>
                <w:sz w:val="18"/>
                <w:szCs w:val="18"/>
                <w:lang w:val="es-CO" w:eastAsia="es-CO"/>
              </w:rPr>
              <w:t>203</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731D7641"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4C4E9093" w14:textId="70361434"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1</w:t>
            </w:r>
            <w:r w:rsidR="007A272B">
              <w:rPr>
                <w:color w:val="000000" w:themeColor="text1"/>
                <w:sz w:val="18"/>
                <w:szCs w:val="18"/>
                <w:lang w:val="es-CO" w:eastAsia="es-CO"/>
              </w:rPr>
              <w:t>.</w:t>
            </w:r>
            <w:r w:rsidRPr="577BF0F5">
              <w:rPr>
                <w:color w:val="000000" w:themeColor="text1"/>
                <w:sz w:val="18"/>
                <w:szCs w:val="18"/>
                <w:lang w:val="es-CO" w:eastAsia="es-CO"/>
              </w:rPr>
              <w:t>125</w:t>
            </w:r>
          </w:p>
        </w:tc>
      </w:tr>
      <w:tr w:rsidR="001E68A1" w:rsidRPr="001E68A1" w14:paraId="3A256157" w14:textId="77777777" w:rsidTr="0095006A">
        <w:trPr>
          <w:trHeight w:val="324"/>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0146053F"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Lagroe</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7643FA28"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5155</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28E0BA2F" w14:textId="78FFF439"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77</w:t>
            </w:r>
            <w:r w:rsidR="007A272B">
              <w:rPr>
                <w:color w:val="000000" w:themeColor="text1"/>
                <w:sz w:val="18"/>
                <w:szCs w:val="18"/>
                <w:lang w:val="es-CO" w:eastAsia="es-CO"/>
              </w:rPr>
              <w:t>.</w:t>
            </w:r>
            <w:r w:rsidRPr="577BF0F5">
              <w:rPr>
                <w:color w:val="000000" w:themeColor="text1"/>
                <w:sz w:val="18"/>
                <w:szCs w:val="18"/>
                <w:lang w:val="es-CO" w:eastAsia="es-CO"/>
              </w:rPr>
              <w:t>221</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5053606F" w14:textId="29098D6D"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51</w:t>
            </w:r>
            <w:r w:rsidR="007A272B">
              <w:rPr>
                <w:color w:val="000000" w:themeColor="text1"/>
                <w:sz w:val="18"/>
                <w:szCs w:val="18"/>
                <w:lang w:val="es-CO" w:eastAsia="es-CO"/>
              </w:rPr>
              <w:t>.</w:t>
            </w:r>
            <w:r w:rsidRPr="577BF0F5">
              <w:rPr>
                <w:color w:val="000000" w:themeColor="text1"/>
                <w:sz w:val="18"/>
                <w:szCs w:val="18"/>
                <w:lang w:val="es-CO" w:eastAsia="es-CO"/>
              </w:rPr>
              <w:t>28</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29A7677B" w14:textId="3D7939D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-909</w:t>
            </w:r>
            <w:r w:rsidR="007A272B">
              <w:rPr>
                <w:color w:val="000000" w:themeColor="text1"/>
                <w:sz w:val="18"/>
                <w:szCs w:val="18"/>
                <w:lang w:val="es-CO" w:eastAsia="es-CO"/>
              </w:rPr>
              <w:t>.</w:t>
            </w:r>
            <w:r w:rsidRPr="577BF0F5">
              <w:rPr>
                <w:color w:val="000000" w:themeColor="text1"/>
                <w:sz w:val="18"/>
                <w:szCs w:val="18"/>
                <w:lang w:val="es-CO" w:eastAsia="es-CO"/>
              </w:rPr>
              <w:t>63</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16399568" w14:textId="75C63EAB"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676</w:t>
            </w:r>
            <w:r w:rsidR="007A272B">
              <w:rPr>
                <w:color w:val="000000" w:themeColor="text1"/>
                <w:sz w:val="18"/>
                <w:szCs w:val="18"/>
                <w:lang w:val="es-CO" w:eastAsia="es-CO"/>
              </w:rPr>
              <w:t>.</w:t>
            </w:r>
            <w:r w:rsidRPr="577BF0F5">
              <w:rPr>
                <w:color w:val="000000" w:themeColor="text1"/>
                <w:sz w:val="18"/>
                <w:szCs w:val="18"/>
                <w:lang w:val="es-CO" w:eastAsia="es-CO"/>
              </w:rPr>
              <w:t>72</w:t>
            </w:r>
          </w:p>
        </w:tc>
      </w:tr>
      <w:tr w:rsidR="001E68A1" w:rsidRPr="001E68A1" w14:paraId="7CCF313F" w14:textId="77777777" w:rsidTr="577BF0F5">
        <w:trPr>
          <w:trHeight w:val="298"/>
        </w:trPr>
        <w:tc>
          <w:tcPr>
            <w:tcW w:w="2268"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4714270A" w14:textId="2ACD8BD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escudo_fiscal</w:t>
            </w:r>
          </w:p>
        </w:tc>
        <w:tc>
          <w:tcPr>
            <w:tcW w:w="1249" w:type="dxa"/>
            <w:tcBorders>
              <w:top w:val="nil"/>
              <w:left w:val="nil"/>
              <w:bottom w:val="single" w:sz="8" w:space="0" w:color="000000" w:themeColor="text1"/>
              <w:right w:val="single" w:sz="8" w:space="0" w:color="000000" w:themeColor="text1"/>
            </w:tcBorders>
            <w:shd w:val="clear" w:color="auto" w:fill="auto"/>
            <w:vAlign w:val="center"/>
            <w:hideMark/>
          </w:tcPr>
          <w:p w14:paraId="6B2A7BB4" w14:textId="77777777"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2169</w:t>
            </w:r>
          </w:p>
        </w:tc>
        <w:tc>
          <w:tcPr>
            <w:tcW w:w="754" w:type="dxa"/>
            <w:tcBorders>
              <w:top w:val="nil"/>
              <w:left w:val="nil"/>
              <w:bottom w:val="single" w:sz="8" w:space="0" w:color="000000" w:themeColor="text1"/>
              <w:right w:val="single" w:sz="8" w:space="0" w:color="000000" w:themeColor="text1"/>
            </w:tcBorders>
            <w:shd w:val="clear" w:color="auto" w:fill="auto"/>
            <w:vAlign w:val="center"/>
            <w:hideMark/>
          </w:tcPr>
          <w:p w14:paraId="57D896C2" w14:textId="49C4161B" w:rsidR="00F95C56" w:rsidRDefault="007A272B" w:rsidP="0014174E">
            <w:pPr>
              <w:jc w:val="center"/>
              <w:rPr>
                <w:color w:val="000000" w:themeColor="text1"/>
                <w:sz w:val="18"/>
                <w:szCs w:val="18"/>
                <w:lang w:val="es-CO" w:eastAsia="es-CO"/>
              </w:rPr>
            </w:pPr>
            <w:r>
              <w:rPr>
                <w:color w:val="000000" w:themeColor="text1"/>
                <w:sz w:val="18"/>
                <w:szCs w:val="18"/>
                <w:lang w:val="es-CO" w:eastAsia="es-CO"/>
              </w:rPr>
              <w:t>-11.</w:t>
            </w:r>
            <w:r w:rsidR="577BF0F5" w:rsidRPr="577BF0F5">
              <w:rPr>
                <w:color w:val="000000" w:themeColor="text1"/>
                <w:sz w:val="18"/>
                <w:szCs w:val="18"/>
                <w:lang w:val="es-CO" w:eastAsia="es-CO"/>
              </w:rPr>
              <w:t>452</w:t>
            </w:r>
          </w:p>
        </w:tc>
        <w:tc>
          <w:tcPr>
            <w:tcW w:w="794" w:type="dxa"/>
            <w:tcBorders>
              <w:top w:val="nil"/>
              <w:left w:val="nil"/>
              <w:bottom w:val="single" w:sz="8" w:space="0" w:color="000000" w:themeColor="text1"/>
              <w:right w:val="single" w:sz="8" w:space="0" w:color="000000" w:themeColor="text1"/>
            </w:tcBorders>
            <w:shd w:val="clear" w:color="auto" w:fill="auto"/>
            <w:vAlign w:val="center"/>
            <w:hideMark/>
          </w:tcPr>
          <w:p w14:paraId="2B1C7FBF" w14:textId="0D5A3362" w:rsidR="00F95C56" w:rsidRDefault="007A272B" w:rsidP="0014174E">
            <w:pPr>
              <w:jc w:val="center"/>
              <w:rPr>
                <w:color w:val="000000" w:themeColor="text1"/>
                <w:sz w:val="18"/>
                <w:szCs w:val="18"/>
                <w:lang w:val="es-CO" w:eastAsia="es-CO"/>
              </w:rPr>
            </w:pPr>
            <w:r>
              <w:rPr>
                <w:color w:val="000000" w:themeColor="text1"/>
                <w:sz w:val="18"/>
                <w:szCs w:val="18"/>
                <w:lang w:val="es-CO" w:eastAsia="es-CO"/>
              </w:rPr>
              <w:t>389.</w:t>
            </w:r>
            <w:r w:rsidR="577BF0F5" w:rsidRPr="577BF0F5">
              <w:rPr>
                <w:color w:val="000000" w:themeColor="text1"/>
                <w:sz w:val="18"/>
                <w:szCs w:val="18"/>
                <w:lang w:val="es-CO" w:eastAsia="es-CO"/>
              </w:rPr>
              <w:t>3</w:t>
            </w:r>
          </w:p>
        </w:tc>
        <w:tc>
          <w:tcPr>
            <w:tcW w:w="857" w:type="dxa"/>
            <w:tcBorders>
              <w:top w:val="nil"/>
              <w:left w:val="nil"/>
              <w:bottom w:val="single" w:sz="8" w:space="0" w:color="000000" w:themeColor="text1"/>
              <w:right w:val="single" w:sz="8" w:space="0" w:color="000000" w:themeColor="text1"/>
            </w:tcBorders>
            <w:shd w:val="clear" w:color="auto" w:fill="auto"/>
            <w:vAlign w:val="center"/>
            <w:hideMark/>
          </w:tcPr>
          <w:p w14:paraId="7F5D921B" w14:textId="2575C6B6" w:rsidR="00F95C56" w:rsidRDefault="007A272B" w:rsidP="0014174E">
            <w:pPr>
              <w:jc w:val="center"/>
              <w:rPr>
                <w:color w:val="000000" w:themeColor="text1"/>
                <w:sz w:val="18"/>
                <w:szCs w:val="18"/>
                <w:lang w:val="es-CO" w:eastAsia="es-CO"/>
              </w:rPr>
            </w:pPr>
            <w:r>
              <w:rPr>
                <w:color w:val="000000" w:themeColor="text1"/>
                <w:sz w:val="18"/>
                <w:szCs w:val="18"/>
                <w:lang w:val="es-CO" w:eastAsia="es-CO"/>
              </w:rPr>
              <w:t>-4068.</w:t>
            </w:r>
            <w:r w:rsidR="577BF0F5" w:rsidRPr="577BF0F5">
              <w:rPr>
                <w:color w:val="000000" w:themeColor="text1"/>
                <w:sz w:val="18"/>
                <w:szCs w:val="18"/>
                <w:lang w:val="es-CO" w:eastAsia="es-CO"/>
              </w:rPr>
              <w:t>3</w:t>
            </w:r>
          </w:p>
        </w:tc>
        <w:tc>
          <w:tcPr>
            <w:tcW w:w="1174" w:type="dxa"/>
            <w:tcBorders>
              <w:top w:val="nil"/>
              <w:left w:val="nil"/>
              <w:bottom w:val="single" w:sz="8" w:space="0" w:color="000000" w:themeColor="text1"/>
              <w:right w:val="single" w:sz="8" w:space="0" w:color="000000" w:themeColor="text1"/>
            </w:tcBorders>
            <w:shd w:val="clear" w:color="auto" w:fill="auto"/>
            <w:vAlign w:val="center"/>
            <w:hideMark/>
          </w:tcPr>
          <w:p w14:paraId="43BB2034" w14:textId="7EA73F7D" w:rsidR="00F95C56" w:rsidRDefault="577BF0F5" w:rsidP="0014174E">
            <w:pPr>
              <w:jc w:val="center"/>
              <w:rPr>
                <w:color w:val="000000" w:themeColor="text1"/>
                <w:sz w:val="18"/>
                <w:szCs w:val="18"/>
                <w:lang w:val="es-CO" w:eastAsia="es-CO"/>
              </w:rPr>
            </w:pPr>
            <w:r w:rsidRPr="577BF0F5">
              <w:rPr>
                <w:color w:val="000000" w:themeColor="text1"/>
                <w:sz w:val="18"/>
                <w:szCs w:val="18"/>
                <w:lang w:val="es-CO" w:eastAsia="es-CO"/>
              </w:rPr>
              <w:t>5,</w:t>
            </w:r>
            <w:r w:rsidR="007A272B">
              <w:rPr>
                <w:color w:val="000000" w:themeColor="text1"/>
                <w:sz w:val="18"/>
                <w:szCs w:val="18"/>
                <w:lang w:val="es-CO" w:eastAsia="es-CO"/>
              </w:rPr>
              <w:t>415.</w:t>
            </w:r>
            <w:r w:rsidRPr="577BF0F5">
              <w:rPr>
                <w:color w:val="000000" w:themeColor="text1"/>
                <w:sz w:val="18"/>
                <w:szCs w:val="18"/>
                <w:lang w:val="es-CO" w:eastAsia="es-CO"/>
              </w:rPr>
              <w:t>167</w:t>
            </w:r>
          </w:p>
        </w:tc>
      </w:tr>
    </w:tbl>
    <w:p w14:paraId="33A12D3B" w14:textId="77777777" w:rsidR="00F95C56" w:rsidRDefault="577BF0F5" w:rsidP="0014174E">
      <w:pPr>
        <w:rPr>
          <w:sz w:val="22"/>
          <w:szCs w:val="22"/>
        </w:rPr>
      </w:pPr>
      <w:r w:rsidRPr="577BF0F5">
        <w:rPr>
          <w:sz w:val="20"/>
          <w:szCs w:val="20"/>
        </w:rPr>
        <w:t xml:space="preserve">* </w:t>
      </w:r>
      <w:r w:rsidRPr="577BF0F5">
        <w:rPr>
          <w:sz w:val="18"/>
          <w:szCs w:val="18"/>
        </w:rPr>
        <w:t>En total la base de datos está compuesta por 5582 observaciones</w:t>
      </w:r>
    </w:p>
    <w:p w14:paraId="49510746" w14:textId="77777777" w:rsidR="00F95C56" w:rsidRDefault="00F95C56" w:rsidP="0014174E">
      <w:pPr>
        <w:ind w:firstLine="708"/>
        <w:jc w:val="both"/>
      </w:pPr>
    </w:p>
    <w:p w14:paraId="4490F646" w14:textId="728F9748" w:rsidR="00F95C56" w:rsidRDefault="577BF0F5" w:rsidP="0014174E">
      <w:pPr>
        <w:ind w:firstLine="708"/>
        <w:jc w:val="both"/>
      </w:pPr>
      <w:r>
        <w:t xml:space="preserve">Se llevó a cabo una clasificación del apalancamiento empresarial por sectores en Argentina y en Colombia (véase Tabla 3), </w:t>
      </w:r>
      <w:r w:rsidR="00BE0B3E">
        <w:t xml:space="preserve">identificándose </w:t>
      </w:r>
      <w:r w:rsidR="0067142F">
        <w:t xml:space="preserve">que las empresas seleccionadas en la muestra pertenecen a </w:t>
      </w:r>
      <w:r>
        <w:t xml:space="preserve">9 sectores. Es posible observar que el promedio del apalancamiento de las empresas argentinas en 5 sectores es superior al de las colombianas. En el caso de las empresas agrícolas de Argentina, dada la ventaja comparativa de este país, recurren a un mayor financiamiento con deuda que las empresas de Colombia. Dos casos particulares se reflejan en los sectores comercializador y salud, en los cuales son notables las diferencias entre la manera de financiar sus inversiones, que podrían deberse a las diferencias de desarrollo de dichos sectores. Dos sectores con relativa similitud son industria y minería, muy cercanos a la media de toda la muestra, y para los dos países con niveles de desarrollo parecidos. En el caso de la construcción y las finanzas y consultoría, las empresas de Colombia tienden a recurrir a un financiamiento externo en mayor medida que las argentinas, por lo que son sectores que en un escenario de crisis pueden ser fuente de vulnerabilidad para la economía.  </w:t>
      </w:r>
    </w:p>
    <w:p w14:paraId="0844C036" w14:textId="77777777" w:rsidR="00F95C56" w:rsidRDefault="00F95C56" w:rsidP="0014174E">
      <w:pPr>
        <w:ind w:firstLine="708"/>
        <w:jc w:val="both"/>
      </w:pPr>
    </w:p>
    <w:p w14:paraId="508E96DB" w14:textId="77777777" w:rsidR="00F95C56" w:rsidRDefault="577BF0F5" w:rsidP="007A272B">
      <w:pPr>
        <w:jc w:val="center"/>
        <w:outlineLvl w:val="0"/>
        <w:rPr>
          <w:b/>
          <w:bCs/>
        </w:rPr>
      </w:pPr>
      <w:r w:rsidRPr="577BF0F5">
        <w:rPr>
          <w:b/>
          <w:bCs/>
        </w:rPr>
        <w:t>Tabla 3. Descripción por sectores</w:t>
      </w:r>
    </w:p>
    <w:tbl>
      <w:tblPr>
        <w:tblW w:w="0" w:type="auto"/>
        <w:tblInd w:w="-5" w:type="dxa"/>
        <w:tblCellMar>
          <w:left w:w="70" w:type="dxa"/>
          <w:right w:w="70" w:type="dxa"/>
        </w:tblCellMar>
        <w:tblLook w:val="04A0" w:firstRow="1" w:lastRow="0" w:firstColumn="1" w:lastColumn="0" w:noHBand="0" w:noVBand="1"/>
      </w:tblPr>
      <w:tblGrid>
        <w:gridCol w:w="460"/>
        <w:gridCol w:w="700"/>
        <w:gridCol w:w="1207"/>
        <w:gridCol w:w="994"/>
        <w:gridCol w:w="1163"/>
        <w:gridCol w:w="709"/>
        <w:gridCol w:w="647"/>
        <w:gridCol w:w="505"/>
        <w:gridCol w:w="736"/>
        <w:gridCol w:w="1020"/>
      </w:tblGrid>
      <w:tr w:rsidR="00010FE8" w:rsidRPr="00010FE8" w14:paraId="32876B8E" w14:textId="77777777" w:rsidTr="577BF0F5">
        <w:trPr>
          <w:trHeight w:val="300"/>
        </w:trPr>
        <w:tc>
          <w:tcPr>
            <w:tcW w:w="0" w:type="auto"/>
            <w:gridSpan w:val="10"/>
            <w:tcBorders>
              <w:top w:val="single" w:sz="4" w:space="0" w:color="auto"/>
              <w:left w:val="single" w:sz="4" w:space="0" w:color="auto"/>
              <w:bottom w:val="single" w:sz="4" w:space="0" w:color="auto"/>
              <w:right w:val="single" w:sz="4" w:space="0" w:color="000000" w:themeColor="text1"/>
            </w:tcBorders>
            <w:shd w:val="clear" w:color="auto" w:fill="1F4E78"/>
            <w:noWrap/>
            <w:vAlign w:val="bottom"/>
            <w:hideMark/>
          </w:tcPr>
          <w:p w14:paraId="093E3517" w14:textId="09A7CC7B" w:rsidR="00F95C56" w:rsidRDefault="577BF0F5" w:rsidP="0014174E">
            <w:pPr>
              <w:jc w:val="center"/>
              <w:rPr>
                <w:b/>
                <w:bCs/>
                <w:color w:val="FFFFFF" w:themeColor="background1"/>
                <w:lang w:val="es-CO" w:eastAsia="es-CO"/>
              </w:rPr>
            </w:pPr>
            <w:r w:rsidRPr="577BF0F5">
              <w:rPr>
                <w:b/>
                <w:bCs/>
                <w:color w:val="FFFFFF" w:themeColor="background1"/>
                <w:lang w:val="es-CO" w:eastAsia="es-CO"/>
              </w:rPr>
              <w:t>Media del apalancamiento empresarial por sectores</w:t>
            </w:r>
            <w:r w:rsidR="00F9057A">
              <w:rPr>
                <w:b/>
                <w:bCs/>
                <w:color w:val="FFFFFF" w:themeColor="background1"/>
                <w:lang w:val="es-CO" w:eastAsia="es-CO"/>
              </w:rPr>
              <w:t xml:space="preserve"> (%)</w:t>
            </w:r>
          </w:p>
        </w:tc>
      </w:tr>
      <w:tr w:rsidR="00010FE8" w:rsidRPr="00010FE8" w14:paraId="66F19F0B" w14:textId="77777777" w:rsidTr="577BF0F5">
        <w:trPr>
          <w:trHeight w:val="300"/>
        </w:trPr>
        <w:tc>
          <w:tcPr>
            <w:tcW w:w="0" w:type="auto"/>
            <w:tcBorders>
              <w:top w:val="nil"/>
              <w:left w:val="single" w:sz="4" w:space="0" w:color="auto"/>
              <w:bottom w:val="nil"/>
              <w:right w:val="nil"/>
            </w:tcBorders>
            <w:shd w:val="clear" w:color="auto" w:fill="auto"/>
            <w:noWrap/>
            <w:vAlign w:val="bottom"/>
            <w:hideMark/>
          </w:tcPr>
          <w:p w14:paraId="1035E2E8"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single" w:sz="4" w:space="0" w:color="auto"/>
              <w:bottom w:val="nil"/>
              <w:right w:val="single" w:sz="4" w:space="0" w:color="auto"/>
            </w:tcBorders>
            <w:shd w:val="clear" w:color="auto" w:fill="auto"/>
            <w:noWrap/>
            <w:vAlign w:val="bottom"/>
            <w:hideMark/>
          </w:tcPr>
          <w:p w14:paraId="7E4E9A38"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Agrícola</w:t>
            </w:r>
          </w:p>
        </w:tc>
        <w:tc>
          <w:tcPr>
            <w:tcW w:w="0" w:type="auto"/>
            <w:tcBorders>
              <w:top w:val="nil"/>
              <w:left w:val="nil"/>
              <w:bottom w:val="nil"/>
              <w:right w:val="single" w:sz="4" w:space="0" w:color="auto"/>
            </w:tcBorders>
            <w:shd w:val="clear" w:color="auto" w:fill="auto"/>
            <w:noWrap/>
            <w:vAlign w:val="bottom"/>
            <w:hideMark/>
          </w:tcPr>
          <w:p w14:paraId="287F6289"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Comercializador</w:t>
            </w:r>
          </w:p>
        </w:tc>
        <w:tc>
          <w:tcPr>
            <w:tcW w:w="0" w:type="auto"/>
            <w:tcBorders>
              <w:top w:val="nil"/>
              <w:left w:val="nil"/>
              <w:bottom w:val="nil"/>
              <w:right w:val="single" w:sz="4" w:space="0" w:color="auto"/>
            </w:tcBorders>
            <w:shd w:val="clear" w:color="auto" w:fill="auto"/>
            <w:noWrap/>
            <w:vAlign w:val="bottom"/>
            <w:hideMark/>
          </w:tcPr>
          <w:p w14:paraId="39F3F5EA"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Construcción</w:t>
            </w:r>
          </w:p>
        </w:tc>
        <w:tc>
          <w:tcPr>
            <w:tcW w:w="0" w:type="auto"/>
            <w:tcBorders>
              <w:top w:val="nil"/>
              <w:left w:val="nil"/>
              <w:bottom w:val="nil"/>
              <w:right w:val="single" w:sz="4" w:space="0" w:color="auto"/>
            </w:tcBorders>
            <w:shd w:val="clear" w:color="auto" w:fill="auto"/>
            <w:noWrap/>
            <w:vAlign w:val="bottom"/>
            <w:hideMark/>
          </w:tcPr>
          <w:p w14:paraId="5F2DEB2C" w14:textId="2A7A882E"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Finan. y consul.</w:t>
            </w:r>
          </w:p>
        </w:tc>
        <w:tc>
          <w:tcPr>
            <w:tcW w:w="0" w:type="auto"/>
            <w:tcBorders>
              <w:top w:val="nil"/>
              <w:left w:val="nil"/>
              <w:bottom w:val="nil"/>
              <w:right w:val="single" w:sz="4" w:space="0" w:color="auto"/>
            </w:tcBorders>
            <w:shd w:val="clear" w:color="auto" w:fill="auto"/>
            <w:noWrap/>
            <w:vAlign w:val="bottom"/>
            <w:hideMark/>
          </w:tcPr>
          <w:p w14:paraId="7FA3D6AA"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Industria</w:t>
            </w:r>
          </w:p>
        </w:tc>
        <w:tc>
          <w:tcPr>
            <w:tcW w:w="0" w:type="auto"/>
            <w:tcBorders>
              <w:top w:val="nil"/>
              <w:left w:val="nil"/>
              <w:bottom w:val="nil"/>
              <w:right w:val="single" w:sz="4" w:space="0" w:color="auto"/>
            </w:tcBorders>
            <w:shd w:val="clear" w:color="auto" w:fill="auto"/>
            <w:noWrap/>
            <w:vAlign w:val="bottom"/>
            <w:hideMark/>
          </w:tcPr>
          <w:p w14:paraId="4B6F363D"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Minería</w:t>
            </w:r>
          </w:p>
        </w:tc>
        <w:tc>
          <w:tcPr>
            <w:tcW w:w="0" w:type="auto"/>
            <w:tcBorders>
              <w:top w:val="nil"/>
              <w:left w:val="nil"/>
              <w:bottom w:val="nil"/>
              <w:right w:val="single" w:sz="4" w:space="0" w:color="auto"/>
            </w:tcBorders>
            <w:shd w:val="clear" w:color="auto" w:fill="auto"/>
            <w:noWrap/>
            <w:vAlign w:val="bottom"/>
            <w:hideMark/>
          </w:tcPr>
          <w:p w14:paraId="04808D04"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Salud</w:t>
            </w:r>
          </w:p>
        </w:tc>
        <w:tc>
          <w:tcPr>
            <w:tcW w:w="0" w:type="auto"/>
            <w:tcBorders>
              <w:top w:val="nil"/>
              <w:left w:val="nil"/>
              <w:bottom w:val="nil"/>
              <w:right w:val="single" w:sz="4" w:space="0" w:color="auto"/>
            </w:tcBorders>
            <w:shd w:val="clear" w:color="auto" w:fill="auto"/>
            <w:noWrap/>
            <w:vAlign w:val="bottom"/>
            <w:hideMark/>
          </w:tcPr>
          <w:p w14:paraId="52AE9789"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Servicios</w:t>
            </w:r>
          </w:p>
        </w:tc>
        <w:tc>
          <w:tcPr>
            <w:tcW w:w="0" w:type="auto"/>
            <w:tcBorders>
              <w:top w:val="nil"/>
              <w:left w:val="nil"/>
              <w:bottom w:val="nil"/>
              <w:right w:val="single" w:sz="4" w:space="0" w:color="auto"/>
            </w:tcBorders>
            <w:shd w:val="clear" w:color="auto" w:fill="auto"/>
            <w:noWrap/>
            <w:vAlign w:val="bottom"/>
            <w:hideMark/>
          </w:tcPr>
          <w:p w14:paraId="0EF84EBF" w14:textId="39C714B8"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Trans. y com.</w:t>
            </w:r>
          </w:p>
        </w:tc>
      </w:tr>
      <w:tr w:rsidR="00010FE8" w:rsidRPr="00010FE8" w14:paraId="73181BB7" w14:textId="77777777" w:rsidTr="577BF0F5">
        <w:trPr>
          <w:trHeight w:val="552"/>
        </w:trPr>
        <w:tc>
          <w:tcPr>
            <w:tcW w:w="0" w:type="auto"/>
            <w:gridSpan w:val="10"/>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5E6F68E6" w14:textId="77777777" w:rsidR="00F95C56" w:rsidRDefault="577BF0F5" w:rsidP="0014174E">
            <w:pPr>
              <w:rPr>
                <w:color w:val="000000" w:themeColor="text1"/>
                <w:lang w:val="es-CO" w:eastAsia="es-CO"/>
              </w:rPr>
            </w:pPr>
            <w:r w:rsidRPr="577BF0F5">
              <w:rPr>
                <w:color w:val="000000" w:themeColor="text1"/>
                <w:lang w:val="es-CO" w:eastAsia="es-CO"/>
              </w:rPr>
              <w:t>ARGENTINA</w:t>
            </w:r>
          </w:p>
        </w:tc>
      </w:tr>
      <w:tr w:rsidR="00010FE8" w:rsidRPr="00010FE8" w14:paraId="4461E0DC" w14:textId="77777777" w:rsidTr="00010FE8">
        <w:trPr>
          <w:trHeight w:val="458"/>
        </w:trPr>
        <w:tc>
          <w:tcPr>
            <w:tcW w:w="0" w:type="auto"/>
            <w:gridSpan w:val="10"/>
            <w:vMerge/>
            <w:tcBorders>
              <w:top w:val="single" w:sz="4" w:space="0" w:color="auto"/>
              <w:left w:val="single" w:sz="4" w:space="0" w:color="auto"/>
              <w:bottom w:val="single" w:sz="4" w:space="0" w:color="000000"/>
              <w:right w:val="single" w:sz="4" w:space="0" w:color="000000"/>
            </w:tcBorders>
            <w:vAlign w:val="center"/>
            <w:hideMark/>
          </w:tcPr>
          <w:p w14:paraId="7EEC255A" w14:textId="77777777" w:rsidR="00F95C56" w:rsidRDefault="00F95C56" w:rsidP="0014174E">
            <w:pPr>
              <w:rPr>
                <w:color w:val="000000"/>
                <w:sz w:val="16"/>
                <w:szCs w:val="16"/>
                <w:lang w:val="es-CO" w:eastAsia="es-CO"/>
              </w:rPr>
            </w:pPr>
          </w:p>
        </w:tc>
      </w:tr>
      <w:tr w:rsidR="00010FE8" w:rsidRPr="00010FE8" w14:paraId="08C15C6C"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79FC38CD"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2005</w:t>
            </w:r>
          </w:p>
        </w:tc>
        <w:tc>
          <w:tcPr>
            <w:tcW w:w="0" w:type="auto"/>
            <w:tcBorders>
              <w:top w:val="nil"/>
              <w:left w:val="nil"/>
              <w:bottom w:val="nil"/>
              <w:right w:val="nil"/>
            </w:tcBorders>
            <w:shd w:val="clear" w:color="auto" w:fill="FFFFFF" w:themeFill="background1"/>
            <w:noWrap/>
            <w:vAlign w:val="bottom"/>
            <w:hideMark/>
          </w:tcPr>
          <w:p w14:paraId="5C1C0B5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14.67</w:t>
            </w:r>
          </w:p>
        </w:tc>
        <w:tc>
          <w:tcPr>
            <w:tcW w:w="0" w:type="auto"/>
            <w:tcBorders>
              <w:top w:val="nil"/>
              <w:left w:val="nil"/>
              <w:bottom w:val="nil"/>
              <w:right w:val="nil"/>
            </w:tcBorders>
            <w:shd w:val="clear" w:color="auto" w:fill="FFFFFF" w:themeFill="background1"/>
            <w:noWrap/>
            <w:vAlign w:val="bottom"/>
            <w:hideMark/>
          </w:tcPr>
          <w:p w14:paraId="3AEC77B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11.47</w:t>
            </w:r>
          </w:p>
        </w:tc>
        <w:tc>
          <w:tcPr>
            <w:tcW w:w="0" w:type="auto"/>
            <w:tcBorders>
              <w:top w:val="nil"/>
              <w:left w:val="nil"/>
              <w:bottom w:val="nil"/>
              <w:right w:val="nil"/>
            </w:tcBorders>
            <w:shd w:val="clear" w:color="auto" w:fill="FFFFFF" w:themeFill="background1"/>
            <w:noWrap/>
            <w:vAlign w:val="bottom"/>
            <w:hideMark/>
          </w:tcPr>
          <w:p w14:paraId="1CB8FF79"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26.16</w:t>
            </w:r>
          </w:p>
        </w:tc>
        <w:tc>
          <w:tcPr>
            <w:tcW w:w="0" w:type="auto"/>
            <w:tcBorders>
              <w:top w:val="nil"/>
              <w:left w:val="nil"/>
              <w:bottom w:val="nil"/>
              <w:right w:val="nil"/>
            </w:tcBorders>
            <w:shd w:val="clear" w:color="auto" w:fill="FFFFFF" w:themeFill="background1"/>
            <w:noWrap/>
            <w:vAlign w:val="bottom"/>
            <w:hideMark/>
          </w:tcPr>
          <w:p w14:paraId="002D7896"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44.57</w:t>
            </w:r>
          </w:p>
        </w:tc>
        <w:tc>
          <w:tcPr>
            <w:tcW w:w="0" w:type="auto"/>
            <w:tcBorders>
              <w:top w:val="nil"/>
              <w:left w:val="nil"/>
              <w:bottom w:val="nil"/>
              <w:right w:val="nil"/>
            </w:tcBorders>
            <w:shd w:val="clear" w:color="auto" w:fill="FFFFFF" w:themeFill="background1"/>
            <w:noWrap/>
            <w:vAlign w:val="bottom"/>
            <w:hideMark/>
          </w:tcPr>
          <w:p w14:paraId="6B77CBBC"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22.92</w:t>
            </w:r>
          </w:p>
        </w:tc>
        <w:tc>
          <w:tcPr>
            <w:tcW w:w="0" w:type="auto"/>
            <w:tcBorders>
              <w:top w:val="nil"/>
              <w:left w:val="nil"/>
              <w:bottom w:val="nil"/>
              <w:right w:val="nil"/>
            </w:tcBorders>
            <w:shd w:val="clear" w:color="auto" w:fill="FFFFFF" w:themeFill="background1"/>
            <w:noWrap/>
            <w:vAlign w:val="bottom"/>
            <w:hideMark/>
          </w:tcPr>
          <w:p w14:paraId="6DCFE2CE"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21.39</w:t>
            </w:r>
          </w:p>
        </w:tc>
        <w:tc>
          <w:tcPr>
            <w:tcW w:w="0" w:type="auto"/>
            <w:tcBorders>
              <w:top w:val="nil"/>
              <w:left w:val="nil"/>
              <w:bottom w:val="nil"/>
              <w:right w:val="nil"/>
            </w:tcBorders>
            <w:shd w:val="clear" w:color="auto" w:fill="FFFFFF" w:themeFill="background1"/>
            <w:noWrap/>
            <w:vAlign w:val="bottom"/>
            <w:hideMark/>
          </w:tcPr>
          <w:p w14:paraId="5B3CFCA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0.00</w:t>
            </w:r>
          </w:p>
        </w:tc>
        <w:tc>
          <w:tcPr>
            <w:tcW w:w="0" w:type="auto"/>
            <w:tcBorders>
              <w:top w:val="nil"/>
              <w:left w:val="nil"/>
              <w:bottom w:val="nil"/>
              <w:right w:val="nil"/>
            </w:tcBorders>
            <w:shd w:val="clear" w:color="auto" w:fill="FFFFFF" w:themeFill="background1"/>
            <w:noWrap/>
            <w:vAlign w:val="bottom"/>
            <w:hideMark/>
          </w:tcPr>
          <w:p w14:paraId="4DB4C02C"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39.13</w:t>
            </w:r>
          </w:p>
        </w:tc>
        <w:tc>
          <w:tcPr>
            <w:tcW w:w="0" w:type="auto"/>
            <w:tcBorders>
              <w:top w:val="nil"/>
              <w:left w:val="nil"/>
              <w:bottom w:val="nil"/>
              <w:right w:val="single" w:sz="4" w:space="0" w:color="auto"/>
            </w:tcBorders>
            <w:shd w:val="clear" w:color="auto" w:fill="FFFFFF" w:themeFill="background1"/>
            <w:noWrap/>
            <w:vAlign w:val="bottom"/>
            <w:hideMark/>
          </w:tcPr>
          <w:p w14:paraId="2A3D3259"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40.01</w:t>
            </w:r>
          </w:p>
        </w:tc>
      </w:tr>
      <w:tr w:rsidR="00010FE8" w:rsidRPr="00010FE8" w14:paraId="3FB39D3B"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7D0357C6"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lastRenderedPageBreak/>
              <w:t>2006</w:t>
            </w:r>
          </w:p>
        </w:tc>
        <w:tc>
          <w:tcPr>
            <w:tcW w:w="0" w:type="auto"/>
            <w:tcBorders>
              <w:top w:val="nil"/>
              <w:left w:val="nil"/>
              <w:bottom w:val="nil"/>
              <w:right w:val="nil"/>
            </w:tcBorders>
            <w:shd w:val="clear" w:color="auto" w:fill="FFFFFF" w:themeFill="background1"/>
            <w:noWrap/>
            <w:vAlign w:val="bottom"/>
            <w:hideMark/>
          </w:tcPr>
          <w:p w14:paraId="044B3E25"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9.97</w:t>
            </w:r>
          </w:p>
        </w:tc>
        <w:tc>
          <w:tcPr>
            <w:tcW w:w="0" w:type="auto"/>
            <w:tcBorders>
              <w:top w:val="nil"/>
              <w:left w:val="nil"/>
              <w:bottom w:val="nil"/>
              <w:right w:val="nil"/>
            </w:tcBorders>
            <w:shd w:val="clear" w:color="auto" w:fill="FFFFFF" w:themeFill="background1"/>
            <w:noWrap/>
            <w:vAlign w:val="bottom"/>
            <w:hideMark/>
          </w:tcPr>
          <w:p w14:paraId="559BC49E"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14.69</w:t>
            </w:r>
          </w:p>
        </w:tc>
        <w:tc>
          <w:tcPr>
            <w:tcW w:w="0" w:type="auto"/>
            <w:tcBorders>
              <w:top w:val="nil"/>
              <w:left w:val="nil"/>
              <w:bottom w:val="nil"/>
              <w:right w:val="nil"/>
            </w:tcBorders>
            <w:shd w:val="clear" w:color="auto" w:fill="FFFFFF" w:themeFill="background1"/>
            <w:noWrap/>
            <w:vAlign w:val="bottom"/>
            <w:hideMark/>
          </w:tcPr>
          <w:p w14:paraId="53D2BD8F"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23.76</w:t>
            </w:r>
          </w:p>
        </w:tc>
        <w:tc>
          <w:tcPr>
            <w:tcW w:w="0" w:type="auto"/>
            <w:tcBorders>
              <w:top w:val="nil"/>
              <w:left w:val="nil"/>
              <w:bottom w:val="nil"/>
              <w:right w:val="nil"/>
            </w:tcBorders>
            <w:shd w:val="clear" w:color="auto" w:fill="FFFFFF" w:themeFill="background1"/>
            <w:noWrap/>
            <w:vAlign w:val="bottom"/>
            <w:hideMark/>
          </w:tcPr>
          <w:p w14:paraId="56BF00D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27.94</w:t>
            </w:r>
          </w:p>
        </w:tc>
        <w:tc>
          <w:tcPr>
            <w:tcW w:w="0" w:type="auto"/>
            <w:tcBorders>
              <w:top w:val="nil"/>
              <w:left w:val="nil"/>
              <w:bottom w:val="nil"/>
              <w:right w:val="nil"/>
            </w:tcBorders>
            <w:shd w:val="clear" w:color="auto" w:fill="FFFFFF" w:themeFill="background1"/>
            <w:noWrap/>
            <w:vAlign w:val="bottom"/>
            <w:hideMark/>
          </w:tcPr>
          <w:p w14:paraId="788F6B60"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23.68</w:t>
            </w:r>
          </w:p>
        </w:tc>
        <w:tc>
          <w:tcPr>
            <w:tcW w:w="0" w:type="auto"/>
            <w:tcBorders>
              <w:top w:val="nil"/>
              <w:left w:val="nil"/>
              <w:bottom w:val="nil"/>
              <w:right w:val="nil"/>
            </w:tcBorders>
            <w:shd w:val="clear" w:color="auto" w:fill="FFFFFF" w:themeFill="background1"/>
            <w:noWrap/>
            <w:vAlign w:val="bottom"/>
            <w:hideMark/>
          </w:tcPr>
          <w:p w14:paraId="3117421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20.09</w:t>
            </w:r>
          </w:p>
        </w:tc>
        <w:tc>
          <w:tcPr>
            <w:tcW w:w="0" w:type="auto"/>
            <w:tcBorders>
              <w:top w:val="nil"/>
              <w:left w:val="nil"/>
              <w:bottom w:val="nil"/>
              <w:right w:val="nil"/>
            </w:tcBorders>
            <w:shd w:val="clear" w:color="auto" w:fill="FFFFFF" w:themeFill="background1"/>
            <w:noWrap/>
            <w:vAlign w:val="bottom"/>
            <w:hideMark/>
          </w:tcPr>
          <w:p w14:paraId="644ECB03"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0.96</w:t>
            </w:r>
          </w:p>
        </w:tc>
        <w:tc>
          <w:tcPr>
            <w:tcW w:w="0" w:type="auto"/>
            <w:tcBorders>
              <w:top w:val="nil"/>
              <w:left w:val="nil"/>
              <w:bottom w:val="nil"/>
              <w:right w:val="nil"/>
            </w:tcBorders>
            <w:shd w:val="clear" w:color="auto" w:fill="FFFFFF" w:themeFill="background1"/>
            <w:noWrap/>
            <w:vAlign w:val="bottom"/>
            <w:hideMark/>
          </w:tcPr>
          <w:p w14:paraId="3DCF1273"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33.56</w:t>
            </w:r>
          </w:p>
        </w:tc>
        <w:tc>
          <w:tcPr>
            <w:tcW w:w="0" w:type="auto"/>
            <w:tcBorders>
              <w:top w:val="nil"/>
              <w:left w:val="nil"/>
              <w:bottom w:val="nil"/>
              <w:right w:val="single" w:sz="4" w:space="0" w:color="auto"/>
            </w:tcBorders>
            <w:shd w:val="clear" w:color="auto" w:fill="FFFFFF" w:themeFill="background1"/>
            <w:noWrap/>
            <w:vAlign w:val="bottom"/>
            <w:hideMark/>
          </w:tcPr>
          <w:p w14:paraId="4C038FE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43.55</w:t>
            </w:r>
          </w:p>
        </w:tc>
      </w:tr>
      <w:tr w:rsidR="00010FE8" w:rsidRPr="00010FE8" w14:paraId="4EA27A1F"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68A3A8E3"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2007</w:t>
            </w:r>
          </w:p>
        </w:tc>
        <w:tc>
          <w:tcPr>
            <w:tcW w:w="0" w:type="auto"/>
            <w:tcBorders>
              <w:top w:val="nil"/>
              <w:left w:val="nil"/>
              <w:bottom w:val="nil"/>
              <w:right w:val="nil"/>
            </w:tcBorders>
            <w:shd w:val="clear" w:color="auto" w:fill="FFFFFF" w:themeFill="background1"/>
            <w:noWrap/>
            <w:vAlign w:val="bottom"/>
            <w:hideMark/>
          </w:tcPr>
          <w:p w14:paraId="6992FF1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7.07</w:t>
            </w:r>
          </w:p>
        </w:tc>
        <w:tc>
          <w:tcPr>
            <w:tcW w:w="0" w:type="auto"/>
            <w:tcBorders>
              <w:top w:val="nil"/>
              <w:left w:val="nil"/>
              <w:bottom w:val="nil"/>
              <w:right w:val="nil"/>
            </w:tcBorders>
            <w:shd w:val="clear" w:color="auto" w:fill="FFFFFF" w:themeFill="background1"/>
            <w:noWrap/>
            <w:vAlign w:val="bottom"/>
            <w:hideMark/>
          </w:tcPr>
          <w:p w14:paraId="47518533"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14.22</w:t>
            </w:r>
          </w:p>
        </w:tc>
        <w:tc>
          <w:tcPr>
            <w:tcW w:w="0" w:type="auto"/>
            <w:tcBorders>
              <w:top w:val="nil"/>
              <w:left w:val="nil"/>
              <w:bottom w:val="nil"/>
              <w:right w:val="nil"/>
            </w:tcBorders>
            <w:shd w:val="clear" w:color="auto" w:fill="FFFFFF" w:themeFill="background1"/>
            <w:noWrap/>
            <w:vAlign w:val="bottom"/>
            <w:hideMark/>
          </w:tcPr>
          <w:p w14:paraId="1D6FDFEE"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22.87</w:t>
            </w:r>
          </w:p>
        </w:tc>
        <w:tc>
          <w:tcPr>
            <w:tcW w:w="0" w:type="auto"/>
            <w:tcBorders>
              <w:top w:val="nil"/>
              <w:left w:val="nil"/>
              <w:bottom w:val="nil"/>
              <w:right w:val="nil"/>
            </w:tcBorders>
            <w:shd w:val="clear" w:color="auto" w:fill="FFFFFF" w:themeFill="background1"/>
            <w:noWrap/>
            <w:vAlign w:val="bottom"/>
            <w:hideMark/>
          </w:tcPr>
          <w:p w14:paraId="67EE5E3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28.01</w:t>
            </w:r>
          </w:p>
        </w:tc>
        <w:tc>
          <w:tcPr>
            <w:tcW w:w="0" w:type="auto"/>
            <w:tcBorders>
              <w:top w:val="nil"/>
              <w:left w:val="nil"/>
              <w:bottom w:val="nil"/>
              <w:right w:val="nil"/>
            </w:tcBorders>
            <w:shd w:val="clear" w:color="auto" w:fill="FFFFFF" w:themeFill="background1"/>
            <w:noWrap/>
            <w:vAlign w:val="bottom"/>
            <w:hideMark/>
          </w:tcPr>
          <w:p w14:paraId="3EA22D8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24.20</w:t>
            </w:r>
          </w:p>
        </w:tc>
        <w:tc>
          <w:tcPr>
            <w:tcW w:w="0" w:type="auto"/>
            <w:tcBorders>
              <w:top w:val="nil"/>
              <w:left w:val="nil"/>
              <w:bottom w:val="nil"/>
              <w:right w:val="nil"/>
            </w:tcBorders>
            <w:shd w:val="clear" w:color="auto" w:fill="FFFFFF" w:themeFill="background1"/>
            <w:noWrap/>
            <w:vAlign w:val="bottom"/>
            <w:hideMark/>
          </w:tcPr>
          <w:p w14:paraId="6EB8F53F"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18.91</w:t>
            </w:r>
          </w:p>
        </w:tc>
        <w:tc>
          <w:tcPr>
            <w:tcW w:w="0" w:type="auto"/>
            <w:tcBorders>
              <w:top w:val="nil"/>
              <w:left w:val="nil"/>
              <w:bottom w:val="nil"/>
              <w:right w:val="nil"/>
            </w:tcBorders>
            <w:shd w:val="clear" w:color="auto" w:fill="FFFFFF" w:themeFill="background1"/>
            <w:noWrap/>
            <w:vAlign w:val="bottom"/>
            <w:hideMark/>
          </w:tcPr>
          <w:p w14:paraId="48A558F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8.33</w:t>
            </w:r>
          </w:p>
        </w:tc>
        <w:tc>
          <w:tcPr>
            <w:tcW w:w="0" w:type="auto"/>
            <w:tcBorders>
              <w:top w:val="nil"/>
              <w:left w:val="nil"/>
              <w:bottom w:val="nil"/>
              <w:right w:val="nil"/>
            </w:tcBorders>
            <w:shd w:val="clear" w:color="auto" w:fill="FFFFFF" w:themeFill="background1"/>
            <w:noWrap/>
            <w:vAlign w:val="bottom"/>
            <w:hideMark/>
          </w:tcPr>
          <w:p w14:paraId="0A53B95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30.14</w:t>
            </w:r>
          </w:p>
        </w:tc>
        <w:tc>
          <w:tcPr>
            <w:tcW w:w="0" w:type="auto"/>
            <w:tcBorders>
              <w:top w:val="nil"/>
              <w:left w:val="nil"/>
              <w:bottom w:val="nil"/>
              <w:right w:val="single" w:sz="4" w:space="0" w:color="auto"/>
            </w:tcBorders>
            <w:shd w:val="clear" w:color="auto" w:fill="FFFFFF" w:themeFill="background1"/>
            <w:noWrap/>
            <w:vAlign w:val="bottom"/>
            <w:hideMark/>
          </w:tcPr>
          <w:p w14:paraId="48FA8A8F"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34.88</w:t>
            </w:r>
          </w:p>
        </w:tc>
      </w:tr>
      <w:tr w:rsidR="00010FE8" w:rsidRPr="00010FE8" w14:paraId="63533AB5"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4A33DFDC"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2008</w:t>
            </w:r>
          </w:p>
        </w:tc>
        <w:tc>
          <w:tcPr>
            <w:tcW w:w="0" w:type="auto"/>
            <w:tcBorders>
              <w:top w:val="nil"/>
              <w:left w:val="nil"/>
              <w:bottom w:val="nil"/>
              <w:right w:val="nil"/>
            </w:tcBorders>
            <w:shd w:val="clear" w:color="auto" w:fill="FFFFFF" w:themeFill="background1"/>
            <w:noWrap/>
            <w:vAlign w:val="bottom"/>
            <w:hideMark/>
          </w:tcPr>
          <w:p w14:paraId="431FEAA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12.24</w:t>
            </w:r>
          </w:p>
        </w:tc>
        <w:tc>
          <w:tcPr>
            <w:tcW w:w="0" w:type="auto"/>
            <w:tcBorders>
              <w:top w:val="nil"/>
              <w:left w:val="nil"/>
              <w:bottom w:val="nil"/>
              <w:right w:val="nil"/>
            </w:tcBorders>
            <w:shd w:val="clear" w:color="auto" w:fill="FFFFFF" w:themeFill="background1"/>
            <w:noWrap/>
            <w:vAlign w:val="bottom"/>
            <w:hideMark/>
          </w:tcPr>
          <w:p w14:paraId="3A7968C0"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16.89</w:t>
            </w:r>
          </w:p>
        </w:tc>
        <w:tc>
          <w:tcPr>
            <w:tcW w:w="0" w:type="auto"/>
            <w:tcBorders>
              <w:top w:val="nil"/>
              <w:left w:val="nil"/>
              <w:bottom w:val="nil"/>
              <w:right w:val="nil"/>
            </w:tcBorders>
            <w:shd w:val="clear" w:color="auto" w:fill="FFFFFF" w:themeFill="background1"/>
            <w:noWrap/>
            <w:vAlign w:val="bottom"/>
            <w:hideMark/>
          </w:tcPr>
          <w:p w14:paraId="5EB4590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22.05</w:t>
            </w:r>
          </w:p>
        </w:tc>
        <w:tc>
          <w:tcPr>
            <w:tcW w:w="0" w:type="auto"/>
            <w:tcBorders>
              <w:top w:val="nil"/>
              <w:left w:val="nil"/>
              <w:bottom w:val="nil"/>
              <w:right w:val="nil"/>
            </w:tcBorders>
            <w:shd w:val="clear" w:color="auto" w:fill="FFFFFF" w:themeFill="background1"/>
            <w:noWrap/>
            <w:vAlign w:val="bottom"/>
            <w:hideMark/>
          </w:tcPr>
          <w:p w14:paraId="47C9369E"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24.26</w:t>
            </w:r>
          </w:p>
        </w:tc>
        <w:tc>
          <w:tcPr>
            <w:tcW w:w="0" w:type="auto"/>
            <w:tcBorders>
              <w:top w:val="nil"/>
              <w:left w:val="nil"/>
              <w:bottom w:val="nil"/>
              <w:right w:val="nil"/>
            </w:tcBorders>
            <w:shd w:val="clear" w:color="auto" w:fill="FFFFFF" w:themeFill="background1"/>
            <w:noWrap/>
            <w:vAlign w:val="bottom"/>
            <w:hideMark/>
          </w:tcPr>
          <w:p w14:paraId="0D411EA6"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31.81</w:t>
            </w:r>
          </w:p>
        </w:tc>
        <w:tc>
          <w:tcPr>
            <w:tcW w:w="0" w:type="auto"/>
            <w:tcBorders>
              <w:top w:val="nil"/>
              <w:left w:val="nil"/>
              <w:bottom w:val="nil"/>
              <w:right w:val="nil"/>
            </w:tcBorders>
            <w:shd w:val="clear" w:color="auto" w:fill="FFFFFF" w:themeFill="background1"/>
            <w:noWrap/>
            <w:vAlign w:val="bottom"/>
            <w:hideMark/>
          </w:tcPr>
          <w:p w14:paraId="16417237"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21.19</w:t>
            </w:r>
          </w:p>
        </w:tc>
        <w:tc>
          <w:tcPr>
            <w:tcW w:w="0" w:type="auto"/>
            <w:tcBorders>
              <w:top w:val="nil"/>
              <w:left w:val="nil"/>
              <w:bottom w:val="nil"/>
              <w:right w:val="nil"/>
            </w:tcBorders>
            <w:shd w:val="clear" w:color="auto" w:fill="FFFFFF" w:themeFill="background1"/>
            <w:noWrap/>
            <w:vAlign w:val="bottom"/>
            <w:hideMark/>
          </w:tcPr>
          <w:p w14:paraId="67C76C63"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0.75</w:t>
            </w:r>
          </w:p>
        </w:tc>
        <w:tc>
          <w:tcPr>
            <w:tcW w:w="0" w:type="auto"/>
            <w:tcBorders>
              <w:top w:val="nil"/>
              <w:left w:val="nil"/>
              <w:bottom w:val="nil"/>
              <w:right w:val="nil"/>
            </w:tcBorders>
            <w:shd w:val="clear" w:color="auto" w:fill="FFFFFF" w:themeFill="background1"/>
            <w:noWrap/>
            <w:vAlign w:val="bottom"/>
            <w:hideMark/>
          </w:tcPr>
          <w:p w14:paraId="68960BF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29.85</w:t>
            </w:r>
          </w:p>
        </w:tc>
        <w:tc>
          <w:tcPr>
            <w:tcW w:w="0" w:type="auto"/>
            <w:tcBorders>
              <w:top w:val="nil"/>
              <w:left w:val="nil"/>
              <w:bottom w:val="nil"/>
              <w:right w:val="single" w:sz="4" w:space="0" w:color="auto"/>
            </w:tcBorders>
            <w:shd w:val="clear" w:color="auto" w:fill="FFFFFF" w:themeFill="background1"/>
            <w:noWrap/>
            <w:vAlign w:val="bottom"/>
            <w:hideMark/>
          </w:tcPr>
          <w:p w14:paraId="5F553807"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31.84</w:t>
            </w:r>
          </w:p>
        </w:tc>
      </w:tr>
      <w:tr w:rsidR="00010FE8" w:rsidRPr="00010FE8" w14:paraId="7D457D2B"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0B002D9D"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2009</w:t>
            </w:r>
          </w:p>
        </w:tc>
        <w:tc>
          <w:tcPr>
            <w:tcW w:w="0" w:type="auto"/>
            <w:tcBorders>
              <w:top w:val="nil"/>
              <w:left w:val="nil"/>
              <w:bottom w:val="nil"/>
              <w:right w:val="nil"/>
            </w:tcBorders>
            <w:shd w:val="clear" w:color="auto" w:fill="FFFFFF" w:themeFill="background1"/>
            <w:noWrap/>
            <w:vAlign w:val="bottom"/>
            <w:hideMark/>
          </w:tcPr>
          <w:p w14:paraId="20E29D2E"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16.50</w:t>
            </w:r>
          </w:p>
        </w:tc>
        <w:tc>
          <w:tcPr>
            <w:tcW w:w="0" w:type="auto"/>
            <w:tcBorders>
              <w:top w:val="nil"/>
              <w:left w:val="nil"/>
              <w:bottom w:val="nil"/>
              <w:right w:val="nil"/>
            </w:tcBorders>
            <w:shd w:val="clear" w:color="auto" w:fill="FFFFFF" w:themeFill="background1"/>
            <w:noWrap/>
            <w:vAlign w:val="bottom"/>
            <w:hideMark/>
          </w:tcPr>
          <w:p w14:paraId="30B4A99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15.74</w:t>
            </w:r>
          </w:p>
        </w:tc>
        <w:tc>
          <w:tcPr>
            <w:tcW w:w="0" w:type="auto"/>
            <w:tcBorders>
              <w:top w:val="nil"/>
              <w:left w:val="nil"/>
              <w:bottom w:val="nil"/>
              <w:right w:val="nil"/>
            </w:tcBorders>
            <w:shd w:val="clear" w:color="auto" w:fill="FFFFFF" w:themeFill="background1"/>
            <w:noWrap/>
            <w:vAlign w:val="bottom"/>
            <w:hideMark/>
          </w:tcPr>
          <w:p w14:paraId="1DDA71A1"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21.45</w:t>
            </w:r>
          </w:p>
        </w:tc>
        <w:tc>
          <w:tcPr>
            <w:tcW w:w="0" w:type="auto"/>
            <w:tcBorders>
              <w:top w:val="nil"/>
              <w:left w:val="nil"/>
              <w:bottom w:val="nil"/>
              <w:right w:val="nil"/>
            </w:tcBorders>
            <w:shd w:val="clear" w:color="auto" w:fill="FFFFFF" w:themeFill="background1"/>
            <w:noWrap/>
            <w:vAlign w:val="bottom"/>
            <w:hideMark/>
          </w:tcPr>
          <w:p w14:paraId="6045DF50"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17.35</w:t>
            </w:r>
          </w:p>
        </w:tc>
        <w:tc>
          <w:tcPr>
            <w:tcW w:w="0" w:type="auto"/>
            <w:tcBorders>
              <w:top w:val="nil"/>
              <w:left w:val="nil"/>
              <w:bottom w:val="nil"/>
              <w:right w:val="nil"/>
            </w:tcBorders>
            <w:shd w:val="clear" w:color="auto" w:fill="FFFFFF" w:themeFill="background1"/>
            <w:noWrap/>
            <w:vAlign w:val="bottom"/>
            <w:hideMark/>
          </w:tcPr>
          <w:p w14:paraId="7394F83F"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27.99</w:t>
            </w:r>
          </w:p>
        </w:tc>
        <w:tc>
          <w:tcPr>
            <w:tcW w:w="0" w:type="auto"/>
            <w:tcBorders>
              <w:top w:val="nil"/>
              <w:left w:val="nil"/>
              <w:bottom w:val="nil"/>
              <w:right w:val="nil"/>
            </w:tcBorders>
            <w:shd w:val="clear" w:color="auto" w:fill="FFFFFF" w:themeFill="background1"/>
            <w:noWrap/>
            <w:vAlign w:val="bottom"/>
            <w:hideMark/>
          </w:tcPr>
          <w:p w14:paraId="35047037"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16.70</w:t>
            </w:r>
          </w:p>
        </w:tc>
        <w:tc>
          <w:tcPr>
            <w:tcW w:w="0" w:type="auto"/>
            <w:tcBorders>
              <w:top w:val="nil"/>
              <w:left w:val="nil"/>
              <w:bottom w:val="nil"/>
              <w:right w:val="nil"/>
            </w:tcBorders>
            <w:shd w:val="clear" w:color="auto" w:fill="FFFFFF" w:themeFill="background1"/>
            <w:noWrap/>
            <w:vAlign w:val="bottom"/>
            <w:hideMark/>
          </w:tcPr>
          <w:p w14:paraId="0651B40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1.53</w:t>
            </w:r>
          </w:p>
        </w:tc>
        <w:tc>
          <w:tcPr>
            <w:tcW w:w="0" w:type="auto"/>
            <w:tcBorders>
              <w:top w:val="nil"/>
              <w:left w:val="nil"/>
              <w:bottom w:val="nil"/>
              <w:right w:val="nil"/>
            </w:tcBorders>
            <w:shd w:val="clear" w:color="auto" w:fill="FFFFFF" w:themeFill="background1"/>
            <w:noWrap/>
            <w:vAlign w:val="bottom"/>
            <w:hideMark/>
          </w:tcPr>
          <w:p w14:paraId="0774B71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27.07</w:t>
            </w:r>
          </w:p>
        </w:tc>
        <w:tc>
          <w:tcPr>
            <w:tcW w:w="0" w:type="auto"/>
            <w:tcBorders>
              <w:top w:val="nil"/>
              <w:left w:val="nil"/>
              <w:bottom w:val="nil"/>
              <w:right w:val="single" w:sz="4" w:space="0" w:color="auto"/>
            </w:tcBorders>
            <w:shd w:val="clear" w:color="auto" w:fill="FFFFFF" w:themeFill="background1"/>
            <w:noWrap/>
            <w:vAlign w:val="bottom"/>
            <w:hideMark/>
          </w:tcPr>
          <w:p w14:paraId="23A147A0"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27.33</w:t>
            </w:r>
          </w:p>
        </w:tc>
      </w:tr>
      <w:tr w:rsidR="00010FE8" w:rsidRPr="00010FE8" w14:paraId="7530F0ED"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6DDFD5BA"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2010</w:t>
            </w:r>
          </w:p>
        </w:tc>
        <w:tc>
          <w:tcPr>
            <w:tcW w:w="0" w:type="auto"/>
            <w:tcBorders>
              <w:top w:val="nil"/>
              <w:left w:val="nil"/>
              <w:bottom w:val="nil"/>
              <w:right w:val="nil"/>
            </w:tcBorders>
            <w:shd w:val="clear" w:color="auto" w:fill="FFFFFF" w:themeFill="background1"/>
            <w:noWrap/>
            <w:vAlign w:val="bottom"/>
            <w:hideMark/>
          </w:tcPr>
          <w:p w14:paraId="3F172B3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25.30</w:t>
            </w:r>
          </w:p>
        </w:tc>
        <w:tc>
          <w:tcPr>
            <w:tcW w:w="0" w:type="auto"/>
            <w:tcBorders>
              <w:top w:val="nil"/>
              <w:left w:val="nil"/>
              <w:bottom w:val="nil"/>
              <w:right w:val="nil"/>
            </w:tcBorders>
            <w:shd w:val="clear" w:color="auto" w:fill="FFFFFF" w:themeFill="background1"/>
            <w:noWrap/>
            <w:vAlign w:val="bottom"/>
            <w:hideMark/>
          </w:tcPr>
          <w:p w14:paraId="76E0E2E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18.99</w:t>
            </w:r>
          </w:p>
        </w:tc>
        <w:tc>
          <w:tcPr>
            <w:tcW w:w="0" w:type="auto"/>
            <w:tcBorders>
              <w:top w:val="nil"/>
              <w:left w:val="nil"/>
              <w:bottom w:val="nil"/>
              <w:right w:val="nil"/>
            </w:tcBorders>
            <w:shd w:val="clear" w:color="auto" w:fill="FFFFFF" w:themeFill="background1"/>
            <w:noWrap/>
            <w:vAlign w:val="bottom"/>
            <w:hideMark/>
          </w:tcPr>
          <w:p w14:paraId="2C6E55B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17.37</w:t>
            </w:r>
          </w:p>
        </w:tc>
        <w:tc>
          <w:tcPr>
            <w:tcW w:w="0" w:type="auto"/>
            <w:tcBorders>
              <w:top w:val="nil"/>
              <w:left w:val="nil"/>
              <w:bottom w:val="nil"/>
              <w:right w:val="nil"/>
            </w:tcBorders>
            <w:shd w:val="clear" w:color="auto" w:fill="FFFFFF" w:themeFill="background1"/>
            <w:noWrap/>
            <w:vAlign w:val="bottom"/>
            <w:hideMark/>
          </w:tcPr>
          <w:p w14:paraId="1FDA5F1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19.20</w:t>
            </w:r>
          </w:p>
        </w:tc>
        <w:tc>
          <w:tcPr>
            <w:tcW w:w="0" w:type="auto"/>
            <w:tcBorders>
              <w:top w:val="nil"/>
              <w:left w:val="nil"/>
              <w:bottom w:val="nil"/>
              <w:right w:val="nil"/>
            </w:tcBorders>
            <w:shd w:val="clear" w:color="auto" w:fill="FFFFFF" w:themeFill="background1"/>
            <w:noWrap/>
            <w:vAlign w:val="bottom"/>
            <w:hideMark/>
          </w:tcPr>
          <w:p w14:paraId="177FA006"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29.68</w:t>
            </w:r>
          </w:p>
        </w:tc>
        <w:tc>
          <w:tcPr>
            <w:tcW w:w="0" w:type="auto"/>
            <w:tcBorders>
              <w:top w:val="nil"/>
              <w:left w:val="nil"/>
              <w:bottom w:val="nil"/>
              <w:right w:val="nil"/>
            </w:tcBorders>
            <w:shd w:val="clear" w:color="auto" w:fill="FFFFFF" w:themeFill="background1"/>
            <w:noWrap/>
            <w:vAlign w:val="bottom"/>
            <w:hideMark/>
          </w:tcPr>
          <w:p w14:paraId="162ABA68"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15.66</w:t>
            </w:r>
          </w:p>
        </w:tc>
        <w:tc>
          <w:tcPr>
            <w:tcW w:w="0" w:type="auto"/>
            <w:tcBorders>
              <w:top w:val="nil"/>
              <w:left w:val="nil"/>
              <w:bottom w:val="nil"/>
              <w:right w:val="nil"/>
            </w:tcBorders>
            <w:shd w:val="clear" w:color="auto" w:fill="FFFFFF" w:themeFill="background1"/>
            <w:noWrap/>
            <w:vAlign w:val="bottom"/>
            <w:hideMark/>
          </w:tcPr>
          <w:p w14:paraId="003DF26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0.92</w:t>
            </w:r>
          </w:p>
        </w:tc>
        <w:tc>
          <w:tcPr>
            <w:tcW w:w="0" w:type="auto"/>
            <w:tcBorders>
              <w:top w:val="nil"/>
              <w:left w:val="nil"/>
              <w:bottom w:val="nil"/>
              <w:right w:val="nil"/>
            </w:tcBorders>
            <w:shd w:val="clear" w:color="auto" w:fill="FFFFFF" w:themeFill="background1"/>
            <w:noWrap/>
            <w:vAlign w:val="bottom"/>
            <w:hideMark/>
          </w:tcPr>
          <w:p w14:paraId="63897CAF"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29.89</w:t>
            </w:r>
          </w:p>
        </w:tc>
        <w:tc>
          <w:tcPr>
            <w:tcW w:w="0" w:type="auto"/>
            <w:tcBorders>
              <w:top w:val="nil"/>
              <w:left w:val="nil"/>
              <w:bottom w:val="nil"/>
              <w:right w:val="single" w:sz="4" w:space="0" w:color="auto"/>
            </w:tcBorders>
            <w:shd w:val="clear" w:color="auto" w:fill="FFFFFF" w:themeFill="background1"/>
            <w:noWrap/>
            <w:vAlign w:val="bottom"/>
            <w:hideMark/>
          </w:tcPr>
          <w:p w14:paraId="2C813DE9"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18.96</w:t>
            </w:r>
          </w:p>
        </w:tc>
      </w:tr>
      <w:tr w:rsidR="00010FE8" w:rsidRPr="00010FE8" w14:paraId="48E41CF9"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7197B9C4"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2011</w:t>
            </w:r>
          </w:p>
        </w:tc>
        <w:tc>
          <w:tcPr>
            <w:tcW w:w="0" w:type="auto"/>
            <w:tcBorders>
              <w:top w:val="nil"/>
              <w:left w:val="nil"/>
              <w:bottom w:val="nil"/>
              <w:right w:val="nil"/>
            </w:tcBorders>
            <w:shd w:val="clear" w:color="auto" w:fill="FFFFFF" w:themeFill="background1"/>
            <w:noWrap/>
            <w:vAlign w:val="bottom"/>
            <w:hideMark/>
          </w:tcPr>
          <w:p w14:paraId="64BE963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27.04</w:t>
            </w:r>
          </w:p>
        </w:tc>
        <w:tc>
          <w:tcPr>
            <w:tcW w:w="0" w:type="auto"/>
            <w:tcBorders>
              <w:top w:val="nil"/>
              <w:left w:val="nil"/>
              <w:bottom w:val="nil"/>
              <w:right w:val="nil"/>
            </w:tcBorders>
            <w:shd w:val="clear" w:color="auto" w:fill="FFFFFF" w:themeFill="background1"/>
            <w:noWrap/>
            <w:vAlign w:val="bottom"/>
            <w:hideMark/>
          </w:tcPr>
          <w:p w14:paraId="7E95286C"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23.93</w:t>
            </w:r>
          </w:p>
        </w:tc>
        <w:tc>
          <w:tcPr>
            <w:tcW w:w="0" w:type="auto"/>
            <w:tcBorders>
              <w:top w:val="nil"/>
              <w:left w:val="nil"/>
              <w:bottom w:val="nil"/>
              <w:right w:val="nil"/>
            </w:tcBorders>
            <w:shd w:val="clear" w:color="auto" w:fill="FFFFFF" w:themeFill="background1"/>
            <w:noWrap/>
            <w:vAlign w:val="bottom"/>
            <w:hideMark/>
          </w:tcPr>
          <w:p w14:paraId="3B3CA7C7"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21.51</w:t>
            </w:r>
          </w:p>
        </w:tc>
        <w:tc>
          <w:tcPr>
            <w:tcW w:w="0" w:type="auto"/>
            <w:tcBorders>
              <w:top w:val="nil"/>
              <w:left w:val="nil"/>
              <w:bottom w:val="nil"/>
              <w:right w:val="nil"/>
            </w:tcBorders>
            <w:shd w:val="clear" w:color="auto" w:fill="FFFFFF" w:themeFill="background1"/>
            <w:noWrap/>
            <w:vAlign w:val="bottom"/>
            <w:hideMark/>
          </w:tcPr>
          <w:p w14:paraId="20FD508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27.48</w:t>
            </w:r>
          </w:p>
        </w:tc>
        <w:tc>
          <w:tcPr>
            <w:tcW w:w="0" w:type="auto"/>
            <w:tcBorders>
              <w:top w:val="nil"/>
              <w:left w:val="nil"/>
              <w:bottom w:val="nil"/>
              <w:right w:val="nil"/>
            </w:tcBorders>
            <w:shd w:val="clear" w:color="auto" w:fill="FFFFFF" w:themeFill="background1"/>
            <w:noWrap/>
            <w:vAlign w:val="bottom"/>
            <w:hideMark/>
          </w:tcPr>
          <w:p w14:paraId="31079068"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28.19</w:t>
            </w:r>
          </w:p>
        </w:tc>
        <w:tc>
          <w:tcPr>
            <w:tcW w:w="0" w:type="auto"/>
            <w:tcBorders>
              <w:top w:val="nil"/>
              <w:left w:val="nil"/>
              <w:bottom w:val="nil"/>
              <w:right w:val="nil"/>
            </w:tcBorders>
            <w:shd w:val="clear" w:color="auto" w:fill="FFFFFF" w:themeFill="background1"/>
            <w:noWrap/>
            <w:vAlign w:val="bottom"/>
            <w:hideMark/>
          </w:tcPr>
          <w:p w14:paraId="0A3BAA3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29.05</w:t>
            </w:r>
          </w:p>
        </w:tc>
        <w:tc>
          <w:tcPr>
            <w:tcW w:w="0" w:type="auto"/>
            <w:tcBorders>
              <w:top w:val="nil"/>
              <w:left w:val="nil"/>
              <w:bottom w:val="nil"/>
              <w:right w:val="nil"/>
            </w:tcBorders>
            <w:shd w:val="clear" w:color="auto" w:fill="FFFFFF" w:themeFill="background1"/>
            <w:noWrap/>
            <w:vAlign w:val="bottom"/>
            <w:hideMark/>
          </w:tcPr>
          <w:p w14:paraId="2DFCED6C"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1.82</w:t>
            </w:r>
          </w:p>
        </w:tc>
        <w:tc>
          <w:tcPr>
            <w:tcW w:w="0" w:type="auto"/>
            <w:tcBorders>
              <w:top w:val="nil"/>
              <w:left w:val="nil"/>
              <w:bottom w:val="nil"/>
              <w:right w:val="nil"/>
            </w:tcBorders>
            <w:shd w:val="clear" w:color="auto" w:fill="FFFFFF" w:themeFill="background1"/>
            <w:noWrap/>
            <w:vAlign w:val="bottom"/>
            <w:hideMark/>
          </w:tcPr>
          <w:p w14:paraId="5B2D16FC"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38.11</w:t>
            </w:r>
          </w:p>
        </w:tc>
        <w:tc>
          <w:tcPr>
            <w:tcW w:w="0" w:type="auto"/>
            <w:tcBorders>
              <w:top w:val="nil"/>
              <w:left w:val="nil"/>
              <w:bottom w:val="nil"/>
              <w:right w:val="single" w:sz="4" w:space="0" w:color="auto"/>
            </w:tcBorders>
            <w:shd w:val="clear" w:color="auto" w:fill="FFFFFF" w:themeFill="background1"/>
            <w:noWrap/>
            <w:vAlign w:val="bottom"/>
            <w:hideMark/>
          </w:tcPr>
          <w:p w14:paraId="6BD797B6"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20.60</w:t>
            </w:r>
          </w:p>
        </w:tc>
      </w:tr>
      <w:tr w:rsidR="00010FE8" w:rsidRPr="00010FE8" w14:paraId="1A9461F2"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72386009"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2012</w:t>
            </w:r>
          </w:p>
        </w:tc>
        <w:tc>
          <w:tcPr>
            <w:tcW w:w="0" w:type="auto"/>
            <w:tcBorders>
              <w:top w:val="nil"/>
              <w:left w:val="nil"/>
              <w:bottom w:val="nil"/>
              <w:right w:val="nil"/>
            </w:tcBorders>
            <w:shd w:val="clear" w:color="auto" w:fill="FFFFFF" w:themeFill="background1"/>
            <w:noWrap/>
            <w:vAlign w:val="bottom"/>
            <w:hideMark/>
          </w:tcPr>
          <w:p w14:paraId="77C92277"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35.08</w:t>
            </w:r>
          </w:p>
        </w:tc>
        <w:tc>
          <w:tcPr>
            <w:tcW w:w="0" w:type="auto"/>
            <w:tcBorders>
              <w:top w:val="nil"/>
              <w:left w:val="nil"/>
              <w:bottom w:val="nil"/>
              <w:right w:val="nil"/>
            </w:tcBorders>
            <w:shd w:val="clear" w:color="auto" w:fill="FFFFFF" w:themeFill="background1"/>
            <w:noWrap/>
            <w:vAlign w:val="bottom"/>
            <w:hideMark/>
          </w:tcPr>
          <w:p w14:paraId="7A3C305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28.75</w:t>
            </w:r>
          </w:p>
        </w:tc>
        <w:tc>
          <w:tcPr>
            <w:tcW w:w="0" w:type="auto"/>
            <w:tcBorders>
              <w:top w:val="nil"/>
              <w:left w:val="nil"/>
              <w:bottom w:val="nil"/>
              <w:right w:val="nil"/>
            </w:tcBorders>
            <w:shd w:val="clear" w:color="auto" w:fill="FFFFFF" w:themeFill="background1"/>
            <w:noWrap/>
            <w:vAlign w:val="bottom"/>
            <w:hideMark/>
          </w:tcPr>
          <w:p w14:paraId="7217058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28.84</w:t>
            </w:r>
          </w:p>
        </w:tc>
        <w:tc>
          <w:tcPr>
            <w:tcW w:w="0" w:type="auto"/>
            <w:tcBorders>
              <w:top w:val="nil"/>
              <w:left w:val="nil"/>
              <w:bottom w:val="nil"/>
              <w:right w:val="nil"/>
            </w:tcBorders>
            <w:shd w:val="clear" w:color="auto" w:fill="FFFFFF" w:themeFill="background1"/>
            <w:noWrap/>
            <w:vAlign w:val="bottom"/>
            <w:hideMark/>
          </w:tcPr>
          <w:p w14:paraId="783B94A8"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-35.44</w:t>
            </w:r>
          </w:p>
        </w:tc>
        <w:tc>
          <w:tcPr>
            <w:tcW w:w="0" w:type="auto"/>
            <w:tcBorders>
              <w:top w:val="nil"/>
              <w:left w:val="nil"/>
              <w:bottom w:val="nil"/>
              <w:right w:val="nil"/>
            </w:tcBorders>
            <w:shd w:val="clear" w:color="auto" w:fill="FFFFFF" w:themeFill="background1"/>
            <w:noWrap/>
            <w:vAlign w:val="bottom"/>
            <w:hideMark/>
          </w:tcPr>
          <w:p w14:paraId="20C2ED0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28.91</w:t>
            </w:r>
          </w:p>
        </w:tc>
        <w:tc>
          <w:tcPr>
            <w:tcW w:w="0" w:type="auto"/>
            <w:tcBorders>
              <w:top w:val="nil"/>
              <w:left w:val="nil"/>
              <w:bottom w:val="nil"/>
              <w:right w:val="nil"/>
            </w:tcBorders>
            <w:shd w:val="clear" w:color="auto" w:fill="FFFFFF" w:themeFill="background1"/>
            <w:noWrap/>
            <w:vAlign w:val="bottom"/>
            <w:hideMark/>
          </w:tcPr>
          <w:p w14:paraId="710C63C9"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28.46</w:t>
            </w:r>
          </w:p>
        </w:tc>
        <w:tc>
          <w:tcPr>
            <w:tcW w:w="0" w:type="auto"/>
            <w:tcBorders>
              <w:top w:val="nil"/>
              <w:left w:val="nil"/>
              <w:bottom w:val="nil"/>
              <w:right w:val="nil"/>
            </w:tcBorders>
            <w:shd w:val="clear" w:color="auto" w:fill="FFFFFF" w:themeFill="background1"/>
            <w:noWrap/>
            <w:vAlign w:val="bottom"/>
            <w:hideMark/>
          </w:tcPr>
          <w:p w14:paraId="035CF6F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24.51</w:t>
            </w:r>
          </w:p>
        </w:tc>
        <w:tc>
          <w:tcPr>
            <w:tcW w:w="0" w:type="auto"/>
            <w:tcBorders>
              <w:top w:val="nil"/>
              <w:left w:val="nil"/>
              <w:bottom w:val="nil"/>
              <w:right w:val="nil"/>
            </w:tcBorders>
            <w:shd w:val="clear" w:color="auto" w:fill="FFFFFF" w:themeFill="background1"/>
            <w:noWrap/>
            <w:vAlign w:val="bottom"/>
            <w:hideMark/>
          </w:tcPr>
          <w:p w14:paraId="207BB076"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50.58</w:t>
            </w:r>
          </w:p>
        </w:tc>
        <w:tc>
          <w:tcPr>
            <w:tcW w:w="0" w:type="auto"/>
            <w:tcBorders>
              <w:top w:val="nil"/>
              <w:left w:val="nil"/>
              <w:bottom w:val="nil"/>
              <w:right w:val="single" w:sz="4" w:space="0" w:color="auto"/>
            </w:tcBorders>
            <w:shd w:val="clear" w:color="auto" w:fill="FFFFFF" w:themeFill="background1"/>
            <w:noWrap/>
            <w:vAlign w:val="bottom"/>
            <w:hideMark/>
          </w:tcPr>
          <w:p w14:paraId="442D57F6"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18.76</w:t>
            </w:r>
          </w:p>
        </w:tc>
      </w:tr>
      <w:tr w:rsidR="00010FE8" w:rsidRPr="00010FE8" w14:paraId="76C2F286"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497E31C4"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2013</w:t>
            </w:r>
          </w:p>
        </w:tc>
        <w:tc>
          <w:tcPr>
            <w:tcW w:w="0" w:type="auto"/>
            <w:tcBorders>
              <w:top w:val="nil"/>
              <w:left w:val="nil"/>
              <w:bottom w:val="nil"/>
              <w:right w:val="nil"/>
            </w:tcBorders>
            <w:shd w:val="clear" w:color="auto" w:fill="FFFFFF" w:themeFill="background1"/>
            <w:noWrap/>
            <w:vAlign w:val="bottom"/>
            <w:hideMark/>
          </w:tcPr>
          <w:p w14:paraId="09481688"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38.49</w:t>
            </w:r>
          </w:p>
        </w:tc>
        <w:tc>
          <w:tcPr>
            <w:tcW w:w="0" w:type="auto"/>
            <w:tcBorders>
              <w:top w:val="nil"/>
              <w:left w:val="nil"/>
              <w:bottom w:val="nil"/>
              <w:right w:val="nil"/>
            </w:tcBorders>
            <w:shd w:val="clear" w:color="auto" w:fill="FFFFFF" w:themeFill="background1"/>
            <w:noWrap/>
            <w:vAlign w:val="bottom"/>
            <w:hideMark/>
          </w:tcPr>
          <w:p w14:paraId="2D950938"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31.70</w:t>
            </w:r>
          </w:p>
        </w:tc>
        <w:tc>
          <w:tcPr>
            <w:tcW w:w="0" w:type="auto"/>
            <w:tcBorders>
              <w:top w:val="nil"/>
              <w:left w:val="nil"/>
              <w:bottom w:val="nil"/>
              <w:right w:val="nil"/>
            </w:tcBorders>
            <w:shd w:val="clear" w:color="auto" w:fill="FFFFFF" w:themeFill="background1"/>
            <w:noWrap/>
            <w:vAlign w:val="bottom"/>
            <w:hideMark/>
          </w:tcPr>
          <w:p w14:paraId="498F6A75"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29.52</w:t>
            </w:r>
          </w:p>
        </w:tc>
        <w:tc>
          <w:tcPr>
            <w:tcW w:w="0" w:type="auto"/>
            <w:tcBorders>
              <w:top w:val="nil"/>
              <w:left w:val="nil"/>
              <w:bottom w:val="nil"/>
              <w:right w:val="nil"/>
            </w:tcBorders>
            <w:shd w:val="clear" w:color="auto" w:fill="FFFFFF" w:themeFill="background1"/>
            <w:noWrap/>
            <w:vAlign w:val="bottom"/>
            <w:hideMark/>
          </w:tcPr>
          <w:p w14:paraId="1DF3DE6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28.82</w:t>
            </w:r>
          </w:p>
        </w:tc>
        <w:tc>
          <w:tcPr>
            <w:tcW w:w="0" w:type="auto"/>
            <w:tcBorders>
              <w:top w:val="nil"/>
              <w:left w:val="nil"/>
              <w:bottom w:val="nil"/>
              <w:right w:val="nil"/>
            </w:tcBorders>
            <w:shd w:val="clear" w:color="auto" w:fill="FFFFFF" w:themeFill="background1"/>
            <w:noWrap/>
            <w:vAlign w:val="bottom"/>
            <w:hideMark/>
          </w:tcPr>
          <w:p w14:paraId="2FA8BFDC"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29.94</w:t>
            </w:r>
          </w:p>
        </w:tc>
        <w:tc>
          <w:tcPr>
            <w:tcW w:w="0" w:type="auto"/>
            <w:tcBorders>
              <w:top w:val="nil"/>
              <w:left w:val="nil"/>
              <w:bottom w:val="nil"/>
              <w:right w:val="nil"/>
            </w:tcBorders>
            <w:shd w:val="clear" w:color="auto" w:fill="FFFFFF" w:themeFill="background1"/>
            <w:noWrap/>
            <w:vAlign w:val="bottom"/>
            <w:hideMark/>
          </w:tcPr>
          <w:p w14:paraId="77D5209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32.48</w:t>
            </w:r>
          </w:p>
        </w:tc>
        <w:tc>
          <w:tcPr>
            <w:tcW w:w="0" w:type="auto"/>
            <w:tcBorders>
              <w:top w:val="nil"/>
              <w:left w:val="nil"/>
              <w:bottom w:val="nil"/>
              <w:right w:val="nil"/>
            </w:tcBorders>
            <w:shd w:val="clear" w:color="auto" w:fill="FFFFFF" w:themeFill="background1"/>
            <w:noWrap/>
            <w:vAlign w:val="bottom"/>
            <w:hideMark/>
          </w:tcPr>
          <w:p w14:paraId="4650B14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28.82</w:t>
            </w:r>
          </w:p>
        </w:tc>
        <w:tc>
          <w:tcPr>
            <w:tcW w:w="0" w:type="auto"/>
            <w:tcBorders>
              <w:top w:val="nil"/>
              <w:left w:val="nil"/>
              <w:bottom w:val="nil"/>
              <w:right w:val="nil"/>
            </w:tcBorders>
            <w:shd w:val="clear" w:color="auto" w:fill="FFFFFF" w:themeFill="background1"/>
            <w:noWrap/>
            <w:vAlign w:val="bottom"/>
            <w:hideMark/>
          </w:tcPr>
          <w:p w14:paraId="20AEAC78"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52.80</w:t>
            </w:r>
          </w:p>
        </w:tc>
        <w:tc>
          <w:tcPr>
            <w:tcW w:w="0" w:type="auto"/>
            <w:tcBorders>
              <w:top w:val="nil"/>
              <w:left w:val="nil"/>
              <w:bottom w:val="nil"/>
              <w:right w:val="single" w:sz="4" w:space="0" w:color="auto"/>
            </w:tcBorders>
            <w:shd w:val="clear" w:color="auto" w:fill="FFFFFF" w:themeFill="background1"/>
            <w:noWrap/>
            <w:vAlign w:val="bottom"/>
            <w:hideMark/>
          </w:tcPr>
          <w:p w14:paraId="681B34BC"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20.46</w:t>
            </w:r>
          </w:p>
        </w:tc>
      </w:tr>
      <w:tr w:rsidR="00010FE8" w:rsidRPr="00010FE8" w14:paraId="1477000D"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2FDF03E7"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2014</w:t>
            </w:r>
          </w:p>
        </w:tc>
        <w:tc>
          <w:tcPr>
            <w:tcW w:w="0" w:type="auto"/>
            <w:tcBorders>
              <w:top w:val="nil"/>
              <w:left w:val="nil"/>
              <w:bottom w:val="nil"/>
              <w:right w:val="nil"/>
            </w:tcBorders>
            <w:shd w:val="clear" w:color="auto" w:fill="FFFFFF" w:themeFill="background1"/>
            <w:noWrap/>
            <w:vAlign w:val="bottom"/>
            <w:hideMark/>
          </w:tcPr>
          <w:p w14:paraId="19A58D43"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33.33</w:t>
            </w:r>
          </w:p>
        </w:tc>
        <w:tc>
          <w:tcPr>
            <w:tcW w:w="0" w:type="auto"/>
            <w:tcBorders>
              <w:top w:val="nil"/>
              <w:left w:val="nil"/>
              <w:bottom w:val="nil"/>
              <w:right w:val="nil"/>
            </w:tcBorders>
            <w:shd w:val="clear" w:color="auto" w:fill="FFFFFF" w:themeFill="background1"/>
            <w:noWrap/>
            <w:vAlign w:val="bottom"/>
            <w:hideMark/>
          </w:tcPr>
          <w:p w14:paraId="7F28FCB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36.57</w:t>
            </w:r>
          </w:p>
        </w:tc>
        <w:tc>
          <w:tcPr>
            <w:tcW w:w="0" w:type="auto"/>
            <w:tcBorders>
              <w:top w:val="nil"/>
              <w:left w:val="nil"/>
              <w:bottom w:val="nil"/>
              <w:right w:val="nil"/>
            </w:tcBorders>
            <w:shd w:val="clear" w:color="auto" w:fill="FFFFFF" w:themeFill="background1"/>
            <w:noWrap/>
            <w:vAlign w:val="bottom"/>
            <w:hideMark/>
          </w:tcPr>
          <w:p w14:paraId="62749761"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26.51</w:t>
            </w:r>
          </w:p>
        </w:tc>
        <w:tc>
          <w:tcPr>
            <w:tcW w:w="0" w:type="auto"/>
            <w:tcBorders>
              <w:top w:val="nil"/>
              <w:left w:val="nil"/>
              <w:bottom w:val="nil"/>
              <w:right w:val="nil"/>
            </w:tcBorders>
            <w:shd w:val="clear" w:color="auto" w:fill="FFFFFF" w:themeFill="background1"/>
            <w:noWrap/>
            <w:vAlign w:val="bottom"/>
            <w:hideMark/>
          </w:tcPr>
          <w:p w14:paraId="2DE05169"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26.39</w:t>
            </w:r>
          </w:p>
        </w:tc>
        <w:tc>
          <w:tcPr>
            <w:tcW w:w="0" w:type="auto"/>
            <w:tcBorders>
              <w:top w:val="nil"/>
              <w:left w:val="nil"/>
              <w:bottom w:val="nil"/>
              <w:right w:val="nil"/>
            </w:tcBorders>
            <w:shd w:val="clear" w:color="auto" w:fill="FFFFFF" w:themeFill="background1"/>
            <w:noWrap/>
            <w:vAlign w:val="bottom"/>
            <w:hideMark/>
          </w:tcPr>
          <w:p w14:paraId="119FF593"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31.50</w:t>
            </w:r>
          </w:p>
        </w:tc>
        <w:tc>
          <w:tcPr>
            <w:tcW w:w="0" w:type="auto"/>
            <w:tcBorders>
              <w:top w:val="nil"/>
              <w:left w:val="nil"/>
              <w:bottom w:val="nil"/>
              <w:right w:val="nil"/>
            </w:tcBorders>
            <w:shd w:val="clear" w:color="auto" w:fill="FFFFFF" w:themeFill="background1"/>
            <w:noWrap/>
            <w:vAlign w:val="bottom"/>
            <w:hideMark/>
          </w:tcPr>
          <w:p w14:paraId="409CC65E"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31.04</w:t>
            </w:r>
          </w:p>
        </w:tc>
        <w:tc>
          <w:tcPr>
            <w:tcW w:w="0" w:type="auto"/>
            <w:tcBorders>
              <w:top w:val="nil"/>
              <w:left w:val="nil"/>
              <w:bottom w:val="nil"/>
              <w:right w:val="nil"/>
            </w:tcBorders>
            <w:shd w:val="clear" w:color="auto" w:fill="FFFFFF" w:themeFill="background1"/>
            <w:noWrap/>
            <w:vAlign w:val="bottom"/>
            <w:hideMark/>
          </w:tcPr>
          <w:p w14:paraId="5972E64E"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22.99</w:t>
            </w:r>
          </w:p>
        </w:tc>
        <w:tc>
          <w:tcPr>
            <w:tcW w:w="0" w:type="auto"/>
            <w:tcBorders>
              <w:top w:val="nil"/>
              <w:left w:val="nil"/>
              <w:bottom w:val="nil"/>
              <w:right w:val="nil"/>
            </w:tcBorders>
            <w:shd w:val="clear" w:color="auto" w:fill="FFFFFF" w:themeFill="background1"/>
            <w:noWrap/>
            <w:vAlign w:val="bottom"/>
            <w:hideMark/>
          </w:tcPr>
          <w:p w14:paraId="27FA163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49.88</w:t>
            </w:r>
          </w:p>
        </w:tc>
        <w:tc>
          <w:tcPr>
            <w:tcW w:w="0" w:type="auto"/>
            <w:tcBorders>
              <w:top w:val="nil"/>
              <w:left w:val="nil"/>
              <w:bottom w:val="nil"/>
              <w:right w:val="single" w:sz="4" w:space="0" w:color="auto"/>
            </w:tcBorders>
            <w:shd w:val="clear" w:color="auto" w:fill="FFFFFF" w:themeFill="background1"/>
            <w:noWrap/>
            <w:vAlign w:val="bottom"/>
            <w:hideMark/>
          </w:tcPr>
          <w:p w14:paraId="40338B62"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20.01</w:t>
            </w:r>
          </w:p>
        </w:tc>
      </w:tr>
      <w:tr w:rsidR="00010FE8" w:rsidRPr="00010FE8" w14:paraId="2757F2CC"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3449B735"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2015</w:t>
            </w:r>
          </w:p>
        </w:tc>
        <w:tc>
          <w:tcPr>
            <w:tcW w:w="0" w:type="auto"/>
            <w:tcBorders>
              <w:top w:val="nil"/>
              <w:left w:val="nil"/>
              <w:bottom w:val="nil"/>
              <w:right w:val="nil"/>
            </w:tcBorders>
            <w:shd w:val="clear" w:color="auto" w:fill="FFFFFF" w:themeFill="background1"/>
            <w:noWrap/>
            <w:vAlign w:val="bottom"/>
            <w:hideMark/>
          </w:tcPr>
          <w:p w14:paraId="0B0646D9"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44.22</w:t>
            </w:r>
          </w:p>
        </w:tc>
        <w:tc>
          <w:tcPr>
            <w:tcW w:w="0" w:type="auto"/>
            <w:tcBorders>
              <w:top w:val="nil"/>
              <w:left w:val="nil"/>
              <w:bottom w:val="nil"/>
              <w:right w:val="nil"/>
            </w:tcBorders>
            <w:shd w:val="clear" w:color="auto" w:fill="FFFFFF" w:themeFill="background1"/>
            <w:noWrap/>
            <w:vAlign w:val="bottom"/>
            <w:hideMark/>
          </w:tcPr>
          <w:p w14:paraId="0AD8971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20.18</w:t>
            </w:r>
          </w:p>
        </w:tc>
        <w:tc>
          <w:tcPr>
            <w:tcW w:w="0" w:type="auto"/>
            <w:tcBorders>
              <w:top w:val="nil"/>
              <w:left w:val="nil"/>
              <w:bottom w:val="nil"/>
              <w:right w:val="nil"/>
            </w:tcBorders>
            <w:shd w:val="clear" w:color="auto" w:fill="FFFFFF" w:themeFill="background1"/>
            <w:noWrap/>
            <w:vAlign w:val="bottom"/>
            <w:hideMark/>
          </w:tcPr>
          <w:p w14:paraId="322970A0"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7AD27C18"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77EF99F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23.82</w:t>
            </w:r>
          </w:p>
        </w:tc>
        <w:tc>
          <w:tcPr>
            <w:tcW w:w="0" w:type="auto"/>
            <w:tcBorders>
              <w:top w:val="nil"/>
              <w:left w:val="nil"/>
              <w:bottom w:val="nil"/>
              <w:right w:val="nil"/>
            </w:tcBorders>
            <w:shd w:val="clear" w:color="auto" w:fill="FFFFFF" w:themeFill="background1"/>
            <w:noWrap/>
            <w:vAlign w:val="bottom"/>
            <w:hideMark/>
          </w:tcPr>
          <w:p w14:paraId="3DF3165D"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31ADC215"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71FB605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68.78</w:t>
            </w:r>
          </w:p>
        </w:tc>
        <w:tc>
          <w:tcPr>
            <w:tcW w:w="0" w:type="auto"/>
            <w:tcBorders>
              <w:top w:val="nil"/>
              <w:left w:val="nil"/>
              <w:bottom w:val="nil"/>
              <w:right w:val="single" w:sz="4" w:space="0" w:color="auto"/>
            </w:tcBorders>
            <w:shd w:val="clear" w:color="auto" w:fill="FFFFFF" w:themeFill="background1"/>
            <w:noWrap/>
            <w:vAlign w:val="bottom"/>
            <w:hideMark/>
          </w:tcPr>
          <w:p w14:paraId="53ACCD97"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r>
      <w:tr w:rsidR="00010FE8" w:rsidRPr="00010FE8" w14:paraId="494E56F2" w14:textId="77777777" w:rsidTr="577BF0F5">
        <w:trPr>
          <w:trHeight w:val="552"/>
        </w:trPr>
        <w:tc>
          <w:tcPr>
            <w:tcW w:w="0" w:type="auto"/>
            <w:gridSpan w:val="10"/>
            <w:vMerge w:val="restart"/>
            <w:tcBorders>
              <w:top w:val="single" w:sz="4" w:space="0" w:color="auto"/>
              <w:left w:val="single" w:sz="4" w:space="0" w:color="auto"/>
              <w:bottom w:val="single" w:sz="4" w:space="0" w:color="000000" w:themeColor="text1"/>
              <w:right w:val="single" w:sz="4" w:space="0" w:color="000000" w:themeColor="text1"/>
            </w:tcBorders>
            <w:shd w:val="clear" w:color="auto" w:fill="auto"/>
            <w:noWrap/>
            <w:vAlign w:val="bottom"/>
            <w:hideMark/>
          </w:tcPr>
          <w:p w14:paraId="740A46E3" w14:textId="77777777" w:rsidR="00F95C56" w:rsidRDefault="577BF0F5" w:rsidP="0014174E">
            <w:pPr>
              <w:rPr>
                <w:color w:val="000000" w:themeColor="text1"/>
                <w:lang w:val="es-CO" w:eastAsia="es-CO"/>
              </w:rPr>
            </w:pPr>
            <w:r w:rsidRPr="577BF0F5">
              <w:rPr>
                <w:color w:val="000000" w:themeColor="text1"/>
                <w:lang w:val="es-CO" w:eastAsia="es-CO"/>
              </w:rPr>
              <w:t>COLOMBIA</w:t>
            </w:r>
          </w:p>
        </w:tc>
      </w:tr>
      <w:tr w:rsidR="00010FE8" w:rsidRPr="00010FE8" w14:paraId="51E7A876" w14:textId="77777777" w:rsidTr="00010FE8">
        <w:trPr>
          <w:trHeight w:val="458"/>
        </w:trPr>
        <w:tc>
          <w:tcPr>
            <w:tcW w:w="0" w:type="auto"/>
            <w:gridSpan w:val="10"/>
            <w:vMerge/>
            <w:tcBorders>
              <w:top w:val="single" w:sz="4" w:space="0" w:color="auto"/>
              <w:left w:val="single" w:sz="4" w:space="0" w:color="auto"/>
              <w:bottom w:val="single" w:sz="4" w:space="0" w:color="000000"/>
              <w:right w:val="single" w:sz="4" w:space="0" w:color="000000"/>
            </w:tcBorders>
            <w:vAlign w:val="center"/>
            <w:hideMark/>
          </w:tcPr>
          <w:p w14:paraId="5D6A4BB8" w14:textId="77777777" w:rsidR="00F95C56" w:rsidRDefault="00F95C56" w:rsidP="0014174E">
            <w:pPr>
              <w:rPr>
                <w:color w:val="000000"/>
                <w:sz w:val="16"/>
                <w:szCs w:val="16"/>
                <w:lang w:val="es-CO" w:eastAsia="es-CO"/>
              </w:rPr>
            </w:pPr>
          </w:p>
        </w:tc>
      </w:tr>
      <w:tr w:rsidR="00010FE8" w:rsidRPr="00010FE8" w14:paraId="0D704801"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3F368FCF"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2005</w:t>
            </w:r>
          </w:p>
        </w:tc>
        <w:tc>
          <w:tcPr>
            <w:tcW w:w="0" w:type="auto"/>
            <w:tcBorders>
              <w:top w:val="nil"/>
              <w:left w:val="nil"/>
              <w:bottom w:val="nil"/>
              <w:right w:val="nil"/>
            </w:tcBorders>
            <w:shd w:val="clear" w:color="auto" w:fill="FFFFFF" w:themeFill="background1"/>
            <w:noWrap/>
            <w:vAlign w:val="bottom"/>
            <w:hideMark/>
          </w:tcPr>
          <w:p w14:paraId="2B37C2FB"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10.83</w:t>
            </w:r>
          </w:p>
        </w:tc>
        <w:tc>
          <w:tcPr>
            <w:tcW w:w="0" w:type="auto"/>
            <w:tcBorders>
              <w:top w:val="nil"/>
              <w:left w:val="nil"/>
              <w:bottom w:val="nil"/>
              <w:right w:val="nil"/>
            </w:tcBorders>
            <w:shd w:val="clear" w:color="auto" w:fill="FFFFFF" w:themeFill="background1"/>
            <w:noWrap/>
            <w:vAlign w:val="bottom"/>
            <w:hideMark/>
          </w:tcPr>
          <w:p w14:paraId="153FD54D"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8.36</w:t>
            </w:r>
          </w:p>
        </w:tc>
        <w:tc>
          <w:tcPr>
            <w:tcW w:w="0" w:type="auto"/>
            <w:tcBorders>
              <w:top w:val="nil"/>
              <w:left w:val="nil"/>
              <w:bottom w:val="nil"/>
              <w:right w:val="nil"/>
            </w:tcBorders>
            <w:shd w:val="clear" w:color="auto" w:fill="FFFFFF" w:themeFill="background1"/>
            <w:noWrap/>
            <w:vAlign w:val="bottom"/>
            <w:hideMark/>
          </w:tcPr>
          <w:p w14:paraId="4CE6B4B4"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14.23</w:t>
            </w:r>
          </w:p>
        </w:tc>
        <w:tc>
          <w:tcPr>
            <w:tcW w:w="0" w:type="auto"/>
            <w:tcBorders>
              <w:top w:val="nil"/>
              <w:left w:val="nil"/>
              <w:bottom w:val="nil"/>
              <w:right w:val="nil"/>
            </w:tcBorders>
            <w:shd w:val="clear" w:color="auto" w:fill="FFFFFF" w:themeFill="background1"/>
            <w:noWrap/>
            <w:vAlign w:val="bottom"/>
            <w:hideMark/>
          </w:tcPr>
          <w:p w14:paraId="49AF2D0A"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29.23</w:t>
            </w:r>
          </w:p>
        </w:tc>
        <w:tc>
          <w:tcPr>
            <w:tcW w:w="0" w:type="auto"/>
            <w:tcBorders>
              <w:top w:val="nil"/>
              <w:left w:val="nil"/>
              <w:bottom w:val="nil"/>
              <w:right w:val="nil"/>
            </w:tcBorders>
            <w:shd w:val="clear" w:color="auto" w:fill="FFFFFF" w:themeFill="background1"/>
            <w:noWrap/>
            <w:vAlign w:val="bottom"/>
            <w:hideMark/>
          </w:tcPr>
          <w:p w14:paraId="605FB5B1"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27.75</w:t>
            </w:r>
          </w:p>
        </w:tc>
        <w:tc>
          <w:tcPr>
            <w:tcW w:w="0" w:type="auto"/>
            <w:tcBorders>
              <w:top w:val="nil"/>
              <w:left w:val="nil"/>
              <w:bottom w:val="nil"/>
              <w:right w:val="nil"/>
            </w:tcBorders>
            <w:shd w:val="clear" w:color="auto" w:fill="FFFFFF" w:themeFill="background1"/>
            <w:noWrap/>
            <w:vAlign w:val="bottom"/>
            <w:hideMark/>
          </w:tcPr>
          <w:p w14:paraId="52CA3811"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46.59</w:t>
            </w:r>
          </w:p>
        </w:tc>
        <w:tc>
          <w:tcPr>
            <w:tcW w:w="0" w:type="auto"/>
            <w:tcBorders>
              <w:top w:val="nil"/>
              <w:left w:val="nil"/>
              <w:bottom w:val="nil"/>
              <w:right w:val="nil"/>
            </w:tcBorders>
            <w:shd w:val="clear" w:color="auto" w:fill="FFFFFF" w:themeFill="background1"/>
            <w:noWrap/>
            <w:vAlign w:val="bottom"/>
            <w:hideMark/>
          </w:tcPr>
          <w:p w14:paraId="32D5CC2D" w14:textId="77777777" w:rsidR="00F95C56"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4F06B8AF"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22.84</w:t>
            </w:r>
          </w:p>
        </w:tc>
        <w:tc>
          <w:tcPr>
            <w:tcW w:w="0" w:type="auto"/>
            <w:tcBorders>
              <w:top w:val="nil"/>
              <w:left w:val="nil"/>
              <w:bottom w:val="nil"/>
              <w:right w:val="single" w:sz="4" w:space="0" w:color="auto"/>
            </w:tcBorders>
            <w:shd w:val="clear" w:color="auto" w:fill="FFFFFF" w:themeFill="background1"/>
            <w:noWrap/>
            <w:vAlign w:val="bottom"/>
            <w:hideMark/>
          </w:tcPr>
          <w:p w14:paraId="4FE7DF59" w14:textId="77777777" w:rsidR="00F95C56"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46.32</w:t>
            </w:r>
          </w:p>
        </w:tc>
      </w:tr>
      <w:tr w:rsidR="00010FE8" w:rsidRPr="00010FE8" w14:paraId="41F4B46C"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27870CB5"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2006</w:t>
            </w:r>
          </w:p>
        </w:tc>
        <w:tc>
          <w:tcPr>
            <w:tcW w:w="0" w:type="auto"/>
            <w:tcBorders>
              <w:top w:val="nil"/>
              <w:left w:val="nil"/>
              <w:bottom w:val="nil"/>
              <w:right w:val="nil"/>
            </w:tcBorders>
            <w:shd w:val="clear" w:color="auto" w:fill="FFFFFF" w:themeFill="background1"/>
            <w:noWrap/>
            <w:vAlign w:val="bottom"/>
            <w:hideMark/>
          </w:tcPr>
          <w:p w14:paraId="02FF3407"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11.70</w:t>
            </w:r>
          </w:p>
        </w:tc>
        <w:tc>
          <w:tcPr>
            <w:tcW w:w="0" w:type="auto"/>
            <w:tcBorders>
              <w:top w:val="nil"/>
              <w:left w:val="nil"/>
              <w:bottom w:val="nil"/>
              <w:right w:val="nil"/>
            </w:tcBorders>
            <w:shd w:val="clear" w:color="auto" w:fill="FFFFFF" w:themeFill="background1"/>
            <w:noWrap/>
            <w:vAlign w:val="bottom"/>
            <w:hideMark/>
          </w:tcPr>
          <w:p w14:paraId="137BB3D5"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8.62</w:t>
            </w:r>
          </w:p>
        </w:tc>
        <w:tc>
          <w:tcPr>
            <w:tcW w:w="0" w:type="auto"/>
            <w:tcBorders>
              <w:top w:val="nil"/>
              <w:left w:val="nil"/>
              <w:bottom w:val="nil"/>
              <w:right w:val="nil"/>
            </w:tcBorders>
            <w:shd w:val="clear" w:color="auto" w:fill="FFFFFF" w:themeFill="background1"/>
            <w:noWrap/>
            <w:vAlign w:val="bottom"/>
            <w:hideMark/>
          </w:tcPr>
          <w:p w14:paraId="0BAEAA35"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22.47</w:t>
            </w:r>
          </w:p>
        </w:tc>
        <w:tc>
          <w:tcPr>
            <w:tcW w:w="0" w:type="auto"/>
            <w:tcBorders>
              <w:top w:val="nil"/>
              <w:left w:val="nil"/>
              <w:bottom w:val="nil"/>
              <w:right w:val="nil"/>
            </w:tcBorders>
            <w:shd w:val="clear" w:color="auto" w:fill="FFFFFF" w:themeFill="background1"/>
            <w:noWrap/>
            <w:vAlign w:val="bottom"/>
            <w:hideMark/>
          </w:tcPr>
          <w:p w14:paraId="46C463B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28.51</w:t>
            </w:r>
          </w:p>
        </w:tc>
        <w:tc>
          <w:tcPr>
            <w:tcW w:w="0" w:type="auto"/>
            <w:tcBorders>
              <w:top w:val="nil"/>
              <w:left w:val="nil"/>
              <w:bottom w:val="nil"/>
              <w:right w:val="nil"/>
            </w:tcBorders>
            <w:shd w:val="clear" w:color="auto" w:fill="FFFFFF" w:themeFill="background1"/>
            <w:noWrap/>
            <w:vAlign w:val="bottom"/>
            <w:hideMark/>
          </w:tcPr>
          <w:p w14:paraId="7732EAC7"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24.87</w:t>
            </w:r>
          </w:p>
        </w:tc>
        <w:tc>
          <w:tcPr>
            <w:tcW w:w="0" w:type="auto"/>
            <w:tcBorders>
              <w:top w:val="nil"/>
              <w:left w:val="nil"/>
              <w:bottom w:val="nil"/>
              <w:right w:val="nil"/>
            </w:tcBorders>
            <w:shd w:val="clear" w:color="auto" w:fill="FFFFFF" w:themeFill="background1"/>
            <w:noWrap/>
            <w:vAlign w:val="bottom"/>
            <w:hideMark/>
          </w:tcPr>
          <w:p w14:paraId="7765B912"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46.10</w:t>
            </w:r>
          </w:p>
        </w:tc>
        <w:tc>
          <w:tcPr>
            <w:tcW w:w="0" w:type="auto"/>
            <w:tcBorders>
              <w:top w:val="nil"/>
              <w:left w:val="nil"/>
              <w:bottom w:val="nil"/>
              <w:right w:val="nil"/>
            </w:tcBorders>
            <w:shd w:val="clear" w:color="auto" w:fill="FFFFFF" w:themeFill="background1"/>
            <w:noWrap/>
            <w:vAlign w:val="bottom"/>
            <w:hideMark/>
          </w:tcPr>
          <w:p w14:paraId="1479CD38"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1FC2A38E"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15.46</w:t>
            </w:r>
          </w:p>
        </w:tc>
        <w:tc>
          <w:tcPr>
            <w:tcW w:w="0" w:type="auto"/>
            <w:tcBorders>
              <w:top w:val="nil"/>
              <w:left w:val="nil"/>
              <w:bottom w:val="nil"/>
              <w:right w:val="single" w:sz="4" w:space="0" w:color="auto"/>
            </w:tcBorders>
            <w:shd w:val="clear" w:color="auto" w:fill="FFFFFF" w:themeFill="background1"/>
            <w:noWrap/>
            <w:vAlign w:val="bottom"/>
            <w:hideMark/>
          </w:tcPr>
          <w:p w14:paraId="090939A2"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46.01</w:t>
            </w:r>
          </w:p>
        </w:tc>
      </w:tr>
      <w:tr w:rsidR="00010FE8" w:rsidRPr="00010FE8" w14:paraId="0B0B2F7D"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63BA7264"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2007</w:t>
            </w:r>
          </w:p>
        </w:tc>
        <w:tc>
          <w:tcPr>
            <w:tcW w:w="0" w:type="auto"/>
            <w:tcBorders>
              <w:top w:val="nil"/>
              <w:left w:val="nil"/>
              <w:bottom w:val="nil"/>
              <w:right w:val="nil"/>
            </w:tcBorders>
            <w:shd w:val="clear" w:color="auto" w:fill="FFFFFF" w:themeFill="background1"/>
            <w:noWrap/>
            <w:vAlign w:val="bottom"/>
            <w:hideMark/>
          </w:tcPr>
          <w:p w14:paraId="02C35A65"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15.18</w:t>
            </w:r>
          </w:p>
        </w:tc>
        <w:tc>
          <w:tcPr>
            <w:tcW w:w="0" w:type="auto"/>
            <w:tcBorders>
              <w:top w:val="nil"/>
              <w:left w:val="nil"/>
              <w:bottom w:val="nil"/>
              <w:right w:val="nil"/>
            </w:tcBorders>
            <w:shd w:val="clear" w:color="auto" w:fill="FFFFFF" w:themeFill="background1"/>
            <w:noWrap/>
            <w:vAlign w:val="bottom"/>
            <w:hideMark/>
          </w:tcPr>
          <w:p w14:paraId="1B6F9608"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7.17</w:t>
            </w:r>
          </w:p>
        </w:tc>
        <w:tc>
          <w:tcPr>
            <w:tcW w:w="0" w:type="auto"/>
            <w:tcBorders>
              <w:top w:val="nil"/>
              <w:left w:val="nil"/>
              <w:bottom w:val="nil"/>
              <w:right w:val="nil"/>
            </w:tcBorders>
            <w:shd w:val="clear" w:color="auto" w:fill="FFFFFF" w:themeFill="background1"/>
            <w:noWrap/>
            <w:vAlign w:val="bottom"/>
            <w:hideMark/>
          </w:tcPr>
          <w:p w14:paraId="22DB735F"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31.54</w:t>
            </w:r>
          </w:p>
        </w:tc>
        <w:tc>
          <w:tcPr>
            <w:tcW w:w="0" w:type="auto"/>
            <w:tcBorders>
              <w:top w:val="nil"/>
              <w:left w:val="nil"/>
              <w:bottom w:val="nil"/>
              <w:right w:val="nil"/>
            </w:tcBorders>
            <w:shd w:val="clear" w:color="auto" w:fill="FFFFFF" w:themeFill="background1"/>
            <w:noWrap/>
            <w:vAlign w:val="bottom"/>
            <w:hideMark/>
          </w:tcPr>
          <w:p w14:paraId="57E5D269"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26.42</w:t>
            </w:r>
          </w:p>
        </w:tc>
        <w:tc>
          <w:tcPr>
            <w:tcW w:w="0" w:type="auto"/>
            <w:tcBorders>
              <w:top w:val="nil"/>
              <w:left w:val="nil"/>
              <w:bottom w:val="nil"/>
              <w:right w:val="nil"/>
            </w:tcBorders>
            <w:shd w:val="clear" w:color="auto" w:fill="FFFFFF" w:themeFill="background1"/>
            <w:noWrap/>
            <w:vAlign w:val="bottom"/>
            <w:hideMark/>
          </w:tcPr>
          <w:p w14:paraId="26C5EA40"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24.77</w:t>
            </w:r>
          </w:p>
        </w:tc>
        <w:tc>
          <w:tcPr>
            <w:tcW w:w="0" w:type="auto"/>
            <w:tcBorders>
              <w:top w:val="nil"/>
              <w:left w:val="nil"/>
              <w:bottom w:val="nil"/>
              <w:right w:val="nil"/>
            </w:tcBorders>
            <w:shd w:val="clear" w:color="auto" w:fill="FFFFFF" w:themeFill="background1"/>
            <w:noWrap/>
            <w:vAlign w:val="bottom"/>
            <w:hideMark/>
          </w:tcPr>
          <w:p w14:paraId="11B8668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28.41</w:t>
            </w:r>
          </w:p>
        </w:tc>
        <w:tc>
          <w:tcPr>
            <w:tcW w:w="0" w:type="auto"/>
            <w:tcBorders>
              <w:top w:val="nil"/>
              <w:left w:val="nil"/>
              <w:bottom w:val="nil"/>
              <w:right w:val="nil"/>
            </w:tcBorders>
            <w:shd w:val="clear" w:color="auto" w:fill="FFFFFF" w:themeFill="background1"/>
            <w:noWrap/>
            <w:vAlign w:val="bottom"/>
            <w:hideMark/>
          </w:tcPr>
          <w:p w14:paraId="6A4120C0"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5F92674D"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19.07</w:t>
            </w:r>
          </w:p>
        </w:tc>
        <w:tc>
          <w:tcPr>
            <w:tcW w:w="0" w:type="auto"/>
            <w:tcBorders>
              <w:top w:val="nil"/>
              <w:left w:val="nil"/>
              <w:bottom w:val="nil"/>
              <w:right w:val="single" w:sz="4" w:space="0" w:color="auto"/>
            </w:tcBorders>
            <w:shd w:val="clear" w:color="auto" w:fill="FFFFFF" w:themeFill="background1"/>
            <w:noWrap/>
            <w:vAlign w:val="bottom"/>
            <w:hideMark/>
          </w:tcPr>
          <w:p w14:paraId="0E91D0FD"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32.46</w:t>
            </w:r>
          </w:p>
        </w:tc>
      </w:tr>
      <w:tr w:rsidR="00010FE8" w:rsidRPr="00010FE8" w14:paraId="32218A9B"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47297D04"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2008</w:t>
            </w:r>
          </w:p>
        </w:tc>
        <w:tc>
          <w:tcPr>
            <w:tcW w:w="0" w:type="auto"/>
            <w:tcBorders>
              <w:top w:val="nil"/>
              <w:left w:val="nil"/>
              <w:bottom w:val="nil"/>
              <w:right w:val="nil"/>
            </w:tcBorders>
            <w:shd w:val="clear" w:color="auto" w:fill="FFFFFF" w:themeFill="background1"/>
            <w:noWrap/>
            <w:vAlign w:val="bottom"/>
            <w:hideMark/>
          </w:tcPr>
          <w:p w14:paraId="1DADDB8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15.68</w:t>
            </w:r>
          </w:p>
        </w:tc>
        <w:tc>
          <w:tcPr>
            <w:tcW w:w="0" w:type="auto"/>
            <w:tcBorders>
              <w:top w:val="nil"/>
              <w:left w:val="nil"/>
              <w:bottom w:val="nil"/>
              <w:right w:val="nil"/>
            </w:tcBorders>
            <w:shd w:val="clear" w:color="auto" w:fill="FFFFFF" w:themeFill="background1"/>
            <w:noWrap/>
            <w:vAlign w:val="bottom"/>
            <w:hideMark/>
          </w:tcPr>
          <w:p w14:paraId="31CC3C36"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10.12</w:t>
            </w:r>
          </w:p>
        </w:tc>
        <w:tc>
          <w:tcPr>
            <w:tcW w:w="0" w:type="auto"/>
            <w:tcBorders>
              <w:top w:val="nil"/>
              <w:left w:val="nil"/>
              <w:bottom w:val="nil"/>
              <w:right w:val="nil"/>
            </w:tcBorders>
            <w:shd w:val="clear" w:color="auto" w:fill="FFFFFF" w:themeFill="background1"/>
            <w:noWrap/>
            <w:vAlign w:val="bottom"/>
            <w:hideMark/>
          </w:tcPr>
          <w:p w14:paraId="032EBFD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29.69</w:t>
            </w:r>
          </w:p>
        </w:tc>
        <w:tc>
          <w:tcPr>
            <w:tcW w:w="0" w:type="auto"/>
            <w:tcBorders>
              <w:top w:val="nil"/>
              <w:left w:val="nil"/>
              <w:bottom w:val="nil"/>
              <w:right w:val="nil"/>
            </w:tcBorders>
            <w:shd w:val="clear" w:color="auto" w:fill="FFFFFF" w:themeFill="background1"/>
            <w:noWrap/>
            <w:vAlign w:val="bottom"/>
            <w:hideMark/>
          </w:tcPr>
          <w:p w14:paraId="3382FF0A"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25.87</w:t>
            </w:r>
          </w:p>
        </w:tc>
        <w:tc>
          <w:tcPr>
            <w:tcW w:w="0" w:type="auto"/>
            <w:tcBorders>
              <w:top w:val="nil"/>
              <w:left w:val="nil"/>
              <w:bottom w:val="nil"/>
              <w:right w:val="nil"/>
            </w:tcBorders>
            <w:shd w:val="clear" w:color="auto" w:fill="FFFFFF" w:themeFill="background1"/>
            <w:noWrap/>
            <w:vAlign w:val="bottom"/>
            <w:hideMark/>
          </w:tcPr>
          <w:p w14:paraId="437EEB3E"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20.71</w:t>
            </w:r>
          </w:p>
        </w:tc>
        <w:tc>
          <w:tcPr>
            <w:tcW w:w="0" w:type="auto"/>
            <w:tcBorders>
              <w:top w:val="nil"/>
              <w:left w:val="nil"/>
              <w:bottom w:val="nil"/>
              <w:right w:val="nil"/>
            </w:tcBorders>
            <w:shd w:val="clear" w:color="auto" w:fill="FFFFFF" w:themeFill="background1"/>
            <w:noWrap/>
            <w:vAlign w:val="bottom"/>
            <w:hideMark/>
          </w:tcPr>
          <w:p w14:paraId="77137460"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24.99</w:t>
            </w:r>
          </w:p>
        </w:tc>
        <w:tc>
          <w:tcPr>
            <w:tcW w:w="0" w:type="auto"/>
            <w:tcBorders>
              <w:top w:val="nil"/>
              <w:left w:val="nil"/>
              <w:bottom w:val="nil"/>
              <w:right w:val="nil"/>
            </w:tcBorders>
            <w:shd w:val="clear" w:color="auto" w:fill="FFFFFF" w:themeFill="background1"/>
            <w:noWrap/>
            <w:vAlign w:val="bottom"/>
            <w:hideMark/>
          </w:tcPr>
          <w:p w14:paraId="40647253"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68829FE9"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18.79</w:t>
            </w:r>
          </w:p>
        </w:tc>
        <w:tc>
          <w:tcPr>
            <w:tcW w:w="0" w:type="auto"/>
            <w:tcBorders>
              <w:top w:val="nil"/>
              <w:left w:val="nil"/>
              <w:bottom w:val="nil"/>
              <w:right w:val="single" w:sz="4" w:space="0" w:color="auto"/>
            </w:tcBorders>
            <w:shd w:val="clear" w:color="auto" w:fill="FFFFFF" w:themeFill="background1"/>
            <w:noWrap/>
            <w:vAlign w:val="bottom"/>
            <w:hideMark/>
          </w:tcPr>
          <w:p w14:paraId="763D8B9A"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32.98</w:t>
            </w:r>
          </w:p>
        </w:tc>
      </w:tr>
      <w:tr w:rsidR="00010FE8" w:rsidRPr="00010FE8" w14:paraId="64060C8D"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4BCF394B"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2009</w:t>
            </w:r>
          </w:p>
        </w:tc>
        <w:tc>
          <w:tcPr>
            <w:tcW w:w="0" w:type="auto"/>
            <w:tcBorders>
              <w:top w:val="nil"/>
              <w:left w:val="nil"/>
              <w:bottom w:val="nil"/>
              <w:right w:val="nil"/>
            </w:tcBorders>
            <w:shd w:val="clear" w:color="auto" w:fill="FFFFFF" w:themeFill="background1"/>
            <w:noWrap/>
            <w:vAlign w:val="bottom"/>
            <w:hideMark/>
          </w:tcPr>
          <w:p w14:paraId="67D5DC0B"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15.55</w:t>
            </w:r>
          </w:p>
        </w:tc>
        <w:tc>
          <w:tcPr>
            <w:tcW w:w="0" w:type="auto"/>
            <w:tcBorders>
              <w:top w:val="nil"/>
              <w:left w:val="nil"/>
              <w:bottom w:val="nil"/>
              <w:right w:val="nil"/>
            </w:tcBorders>
            <w:shd w:val="clear" w:color="auto" w:fill="FFFFFF" w:themeFill="background1"/>
            <w:noWrap/>
            <w:vAlign w:val="bottom"/>
            <w:hideMark/>
          </w:tcPr>
          <w:p w14:paraId="12677E1F"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7.28</w:t>
            </w:r>
          </w:p>
        </w:tc>
        <w:tc>
          <w:tcPr>
            <w:tcW w:w="0" w:type="auto"/>
            <w:tcBorders>
              <w:top w:val="nil"/>
              <w:left w:val="nil"/>
              <w:bottom w:val="nil"/>
              <w:right w:val="nil"/>
            </w:tcBorders>
            <w:shd w:val="clear" w:color="auto" w:fill="FFFFFF" w:themeFill="background1"/>
            <w:noWrap/>
            <w:vAlign w:val="bottom"/>
            <w:hideMark/>
          </w:tcPr>
          <w:p w14:paraId="275E22D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29.81</w:t>
            </w:r>
          </w:p>
        </w:tc>
        <w:tc>
          <w:tcPr>
            <w:tcW w:w="0" w:type="auto"/>
            <w:tcBorders>
              <w:top w:val="nil"/>
              <w:left w:val="nil"/>
              <w:bottom w:val="nil"/>
              <w:right w:val="nil"/>
            </w:tcBorders>
            <w:shd w:val="clear" w:color="auto" w:fill="FFFFFF" w:themeFill="background1"/>
            <w:noWrap/>
            <w:vAlign w:val="bottom"/>
            <w:hideMark/>
          </w:tcPr>
          <w:p w14:paraId="616C2338"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30.09</w:t>
            </w:r>
          </w:p>
        </w:tc>
        <w:tc>
          <w:tcPr>
            <w:tcW w:w="0" w:type="auto"/>
            <w:tcBorders>
              <w:top w:val="nil"/>
              <w:left w:val="nil"/>
              <w:bottom w:val="nil"/>
              <w:right w:val="nil"/>
            </w:tcBorders>
            <w:shd w:val="clear" w:color="auto" w:fill="FFFFFF" w:themeFill="background1"/>
            <w:noWrap/>
            <w:vAlign w:val="bottom"/>
            <w:hideMark/>
          </w:tcPr>
          <w:p w14:paraId="0C8FF842"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18.21</w:t>
            </w:r>
          </w:p>
        </w:tc>
        <w:tc>
          <w:tcPr>
            <w:tcW w:w="0" w:type="auto"/>
            <w:tcBorders>
              <w:top w:val="nil"/>
              <w:left w:val="nil"/>
              <w:bottom w:val="nil"/>
              <w:right w:val="nil"/>
            </w:tcBorders>
            <w:shd w:val="clear" w:color="auto" w:fill="FFFFFF" w:themeFill="background1"/>
            <w:noWrap/>
            <w:vAlign w:val="bottom"/>
            <w:hideMark/>
          </w:tcPr>
          <w:p w14:paraId="0A33B873"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32.60</w:t>
            </w:r>
          </w:p>
        </w:tc>
        <w:tc>
          <w:tcPr>
            <w:tcW w:w="0" w:type="auto"/>
            <w:tcBorders>
              <w:top w:val="nil"/>
              <w:left w:val="nil"/>
              <w:bottom w:val="nil"/>
              <w:right w:val="nil"/>
            </w:tcBorders>
            <w:shd w:val="clear" w:color="auto" w:fill="FFFFFF" w:themeFill="background1"/>
            <w:noWrap/>
            <w:vAlign w:val="bottom"/>
            <w:hideMark/>
          </w:tcPr>
          <w:p w14:paraId="7D37B74A"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 </w:t>
            </w:r>
          </w:p>
        </w:tc>
        <w:tc>
          <w:tcPr>
            <w:tcW w:w="0" w:type="auto"/>
            <w:tcBorders>
              <w:top w:val="nil"/>
              <w:left w:val="nil"/>
              <w:bottom w:val="nil"/>
              <w:right w:val="nil"/>
            </w:tcBorders>
            <w:shd w:val="clear" w:color="auto" w:fill="FFFFFF" w:themeFill="background1"/>
            <w:noWrap/>
            <w:vAlign w:val="bottom"/>
            <w:hideMark/>
          </w:tcPr>
          <w:p w14:paraId="5D7F95D4"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17.95</w:t>
            </w:r>
          </w:p>
        </w:tc>
        <w:tc>
          <w:tcPr>
            <w:tcW w:w="0" w:type="auto"/>
            <w:tcBorders>
              <w:top w:val="nil"/>
              <w:left w:val="nil"/>
              <w:bottom w:val="nil"/>
              <w:right w:val="single" w:sz="4" w:space="0" w:color="auto"/>
            </w:tcBorders>
            <w:shd w:val="clear" w:color="auto" w:fill="FFFFFF" w:themeFill="background1"/>
            <w:noWrap/>
            <w:vAlign w:val="bottom"/>
            <w:hideMark/>
          </w:tcPr>
          <w:p w14:paraId="02A3E147"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33.89</w:t>
            </w:r>
          </w:p>
        </w:tc>
      </w:tr>
      <w:tr w:rsidR="00010FE8" w:rsidRPr="00010FE8" w14:paraId="50CFD468"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571C5A0F"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2010</w:t>
            </w:r>
          </w:p>
        </w:tc>
        <w:tc>
          <w:tcPr>
            <w:tcW w:w="0" w:type="auto"/>
            <w:tcBorders>
              <w:top w:val="nil"/>
              <w:left w:val="nil"/>
              <w:bottom w:val="nil"/>
              <w:right w:val="nil"/>
            </w:tcBorders>
            <w:shd w:val="clear" w:color="auto" w:fill="FFFFFF" w:themeFill="background1"/>
            <w:noWrap/>
            <w:vAlign w:val="bottom"/>
            <w:hideMark/>
          </w:tcPr>
          <w:p w14:paraId="75B7E450"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13.94</w:t>
            </w:r>
          </w:p>
        </w:tc>
        <w:tc>
          <w:tcPr>
            <w:tcW w:w="0" w:type="auto"/>
            <w:tcBorders>
              <w:top w:val="nil"/>
              <w:left w:val="nil"/>
              <w:bottom w:val="nil"/>
              <w:right w:val="nil"/>
            </w:tcBorders>
            <w:shd w:val="clear" w:color="auto" w:fill="FFFFFF" w:themeFill="background1"/>
            <w:noWrap/>
            <w:vAlign w:val="bottom"/>
            <w:hideMark/>
          </w:tcPr>
          <w:p w14:paraId="2ABEBC5D"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9.74</w:t>
            </w:r>
          </w:p>
        </w:tc>
        <w:tc>
          <w:tcPr>
            <w:tcW w:w="0" w:type="auto"/>
            <w:tcBorders>
              <w:top w:val="nil"/>
              <w:left w:val="nil"/>
              <w:bottom w:val="nil"/>
              <w:right w:val="nil"/>
            </w:tcBorders>
            <w:shd w:val="clear" w:color="auto" w:fill="FFFFFF" w:themeFill="background1"/>
            <w:noWrap/>
            <w:vAlign w:val="bottom"/>
            <w:hideMark/>
          </w:tcPr>
          <w:p w14:paraId="724CF374"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26.87</w:t>
            </w:r>
          </w:p>
        </w:tc>
        <w:tc>
          <w:tcPr>
            <w:tcW w:w="0" w:type="auto"/>
            <w:tcBorders>
              <w:top w:val="nil"/>
              <w:left w:val="nil"/>
              <w:bottom w:val="nil"/>
              <w:right w:val="nil"/>
            </w:tcBorders>
            <w:shd w:val="clear" w:color="auto" w:fill="FFFFFF" w:themeFill="background1"/>
            <w:noWrap/>
            <w:vAlign w:val="bottom"/>
            <w:hideMark/>
          </w:tcPr>
          <w:p w14:paraId="0D24A7C6"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37.64</w:t>
            </w:r>
          </w:p>
        </w:tc>
        <w:tc>
          <w:tcPr>
            <w:tcW w:w="0" w:type="auto"/>
            <w:tcBorders>
              <w:top w:val="nil"/>
              <w:left w:val="nil"/>
              <w:bottom w:val="nil"/>
              <w:right w:val="nil"/>
            </w:tcBorders>
            <w:shd w:val="clear" w:color="auto" w:fill="FFFFFF" w:themeFill="background1"/>
            <w:noWrap/>
            <w:vAlign w:val="bottom"/>
            <w:hideMark/>
          </w:tcPr>
          <w:p w14:paraId="5245098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17.93</w:t>
            </w:r>
          </w:p>
        </w:tc>
        <w:tc>
          <w:tcPr>
            <w:tcW w:w="0" w:type="auto"/>
            <w:tcBorders>
              <w:top w:val="nil"/>
              <w:left w:val="nil"/>
              <w:bottom w:val="nil"/>
              <w:right w:val="nil"/>
            </w:tcBorders>
            <w:shd w:val="clear" w:color="auto" w:fill="FFFFFF" w:themeFill="background1"/>
            <w:noWrap/>
            <w:vAlign w:val="bottom"/>
            <w:hideMark/>
          </w:tcPr>
          <w:p w14:paraId="3D8A8B0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28.38</w:t>
            </w:r>
          </w:p>
        </w:tc>
        <w:tc>
          <w:tcPr>
            <w:tcW w:w="0" w:type="auto"/>
            <w:tcBorders>
              <w:top w:val="nil"/>
              <w:left w:val="nil"/>
              <w:bottom w:val="nil"/>
              <w:right w:val="nil"/>
            </w:tcBorders>
            <w:shd w:val="clear" w:color="auto" w:fill="FFFFFF" w:themeFill="background1"/>
            <w:noWrap/>
            <w:vAlign w:val="bottom"/>
            <w:hideMark/>
          </w:tcPr>
          <w:p w14:paraId="070389D9"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1.13</w:t>
            </w:r>
          </w:p>
        </w:tc>
        <w:tc>
          <w:tcPr>
            <w:tcW w:w="0" w:type="auto"/>
            <w:tcBorders>
              <w:top w:val="nil"/>
              <w:left w:val="nil"/>
              <w:bottom w:val="nil"/>
              <w:right w:val="nil"/>
            </w:tcBorders>
            <w:shd w:val="clear" w:color="auto" w:fill="FFFFFF" w:themeFill="background1"/>
            <w:noWrap/>
            <w:vAlign w:val="bottom"/>
            <w:hideMark/>
          </w:tcPr>
          <w:p w14:paraId="2DCBED33"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21.08</w:t>
            </w:r>
          </w:p>
        </w:tc>
        <w:tc>
          <w:tcPr>
            <w:tcW w:w="0" w:type="auto"/>
            <w:tcBorders>
              <w:top w:val="nil"/>
              <w:left w:val="nil"/>
              <w:bottom w:val="nil"/>
              <w:right w:val="single" w:sz="4" w:space="0" w:color="auto"/>
            </w:tcBorders>
            <w:shd w:val="clear" w:color="auto" w:fill="FFFFFF" w:themeFill="background1"/>
            <w:noWrap/>
            <w:vAlign w:val="bottom"/>
            <w:hideMark/>
          </w:tcPr>
          <w:p w14:paraId="03578D2E"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23.98</w:t>
            </w:r>
          </w:p>
        </w:tc>
      </w:tr>
      <w:tr w:rsidR="00010FE8" w:rsidRPr="00010FE8" w14:paraId="3FB8883D"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50148A8C"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2011</w:t>
            </w:r>
          </w:p>
        </w:tc>
        <w:tc>
          <w:tcPr>
            <w:tcW w:w="0" w:type="auto"/>
            <w:tcBorders>
              <w:top w:val="nil"/>
              <w:left w:val="nil"/>
              <w:bottom w:val="nil"/>
              <w:right w:val="nil"/>
            </w:tcBorders>
            <w:shd w:val="clear" w:color="auto" w:fill="FFFFFF" w:themeFill="background1"/>
            <w:noWrap/>
            <w:vAlign w:val="bottom"/>
            <w:hideMark/>
          </w:tcPr>
          <w:p w14:paraId="3F1404D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14.68</w:t>
            </w:r>
          </w:p>
        </w:tc>
        <w:tc>
          <w:tcPr>
            <w:tcW w:w="0" w:type="auto"/>
            <w:tcBorders>
              <w:top w:val="nil"/>
              <w:left w:val="nil"/>
              <w:bottom w:val="nil"/>
              <w:right w:val="nil"/>
            </w:tcBorders>
            <w:shd w:val="clear" w:color="auto" w:fill="FFFFFF" w:themeFill="background1"/>
            <w:noWrap/>
            <w:vAlign w:val="bottom"/>
            <w:hideMark/>
          </w:tcPr>
          <w:p w14:paraId="7E0B4A4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15.45</w:t>
            </w:r>
          </w:p>
        </w:tc>
        <w:tc>
          <w:tcPr>
            <w:tcW w:w="0" w:type="auto"/>
            <w:tcBorders>
              <w:top w:val="nil"/>
              <w:left w:val="nil"/>
              <w:bottom w:val="nil"/>
              <w:right w:val="nil"/>
            </w:tcBorders>
            <w:shd w:val="clear" w:color="auto" w:fill="FFFFFF" w:themeFill="background1"/>
            <w:noWrap/>
            <w:vAlign w:val="bottom"/>
            <w:hideMark/>
          </w:tcPr>
          <w:p w14:paraId="122C93C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38.23</w:t>
            </w:r>
          </w:p>
        </w:tc>
        <w:tc>
          <w:tcPr>
            <w:tcW w:w="0" w:type="auto"/>
            <w:tcBorders>
              <w:top w:val="nil"/>
              <w:left w:val="nil"/>
              <w:bottom w:val="nil"/>
              <w:right w:val="nil"/>
            </w:tcBorders>
            <w:shd w:val="clear" w:color="auto" w:fill="FFFFFF" w:themeFill="background1"/>
            <w:noWrap/>
            <w:vAlign w:val="bottom"/>
            <w:hideMark/>
          </w:tcPr>
          <w:p w14:paraId="532D1B9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37.48</w:t>
            </w:r>
          </w:p>
        </w:tc>
        <w:tc>
          <w:tcPr>
            <w:tcW w:w="0" w:type="auto"/>
            <w:tcBorders>
              <w:top w:val="nil"/>
              <w:left w:val="nil"/>
              <w:bottom w:val="nil"/>
              <w:right w:val="nil"/>
            </w:tcBorders>
            <w:shd w:val="clear" w:color="auto" w:fill="FFFFFF" w:themeFill="background1"/>
            <w:noWrap/>
            <w:vAlign w:val="bottom"/>
            <w:hideMark/>
          </w:tcPr>
          <w:p w14:paraId="04877C52"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17.84</w:t>
            </w:r>
          </w:p>
        </w:tc>
        <w:tc>
          <w:tcPr>
            <w:tcW w:w="0" w:type="auto"/>
            <w:tcBorders>
              <w:top w:val="nil"/>
              <w:left w:val="nil"/>
              <w:bottom w:val="nil"/>
              <w:right w:val="nil"/>
            </w:tcBorders>
            <w:shd w:val="clear" w:color="auto" w:fill="FFFFFF" w:themeFill="background1"/>
            <w:noWrap/>
            <w:vAlign w:val="bottom"/>
            <w:hideMark/>
          </w:tcPr>
          <w:p w14:paraId="5CB905D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31.47</w:t>
            </w:r>
          </w:p>
        </w:tc>
        <w:tc>
          <w:tcPr>
            <w:tcW w:w="0" w:type="auto"/>
            <w:tcBorders>
              <w:top w:val="nil"/>
              <w:left w:val="nil"/>
              <w:bottom w:val="nil"/>
              <w:right w:val="nil"/>
            </w:tcBorders>
            <w:shd w:val="clear" w:color="auto" w:fill="FFFFFF" w:themeFill="background1"/>
            <w:noWrap/>
            <w:vAlign w:val="bottom"/>
            <w:hideMark/>
          </w:tcPr>
          <w:p w14:paraId="41210D53"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0.82</w:t>
            </w:r>
          </w:p>
        </w:tc>
        <w:tc>
          <w:tcPr>
            <w:tcW w:w="0" w:type="auto"/>
            <w:tcBorders>
              <w:top w:val="nil"/>
              <w:left w:val="nil"/>
              <w:bottom w:val="nil"/>
              <w:right w:val="nil"/>
            </w:tcBorders>
            <w:shd w:val="clear" w:color="auto" w:fill="FFFFFF" w:themeFill="background1"/>
            <w:noWrap/>
            <w:vAlign w:val="bottom"/>
            <w:hideMark/>
          </w:tcPr>
          <w:p w14:paraId="2C09004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22.21</w:t>
            </w:r>
          </w:p>
        </w:tc>
        <w:tc>
          <w:tcPr>
            <w:tcW w:w="0" w:type="auto"/>
            <w:tcBorders>
              <w:top w:val="nil"/>
              <w:left w:val="nil"/>
              <w:bottom w:val="nil"/>
              <w:right w:val="single" w:sz="4" w:space="0" w:color="auto"/>
            </w:tcBorders>
            <w:shd w:val="clear" w:color="auto" w:fill="FFFFFF" w:themeFill="background1"/>
            <w:noWrap/>
            <w:vAlign w:val="bottom"/>
            <w:hideMark/>
          </w:tcPr>
          <w:p w14:paraId="705D2099"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25.16</w:t>
            </w:r>
          </w:p>
        </w:tc>
      </w:tr>
      <w:tr w:rsidR="00010FE8" w:rsidRPr="00010FE8" w14:paraId="359636AB"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254F7357"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2012</w:t>
            </w:r>
          </w:p>
        </w:tc>
        <w:tc>
          <w:tcPr>
            <w:tcW w:w="0" w:type="auto"/>
            <w:tcBorders>
              <w:top w:val="nil"/>
              <w:left w:val="nil"/>
              <w:bottom w:val="nil"/>
              <w:right w:val="nil"/>
            </w:tcBorders>
            <w:shd w:val="clear" w:color="auto" w:fill="FFFFFF" w:themeFill="background1"/>
            <w:noWrap/>
            <w:vAlign w:val="bottom"/>
            <w:hideMark/>
          </w:tcPr>
          <w:p w14:paraId="740888A6"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13.50</w:t>
            </w:r>
          </w:p>
        </w:tc>
        <w:tc>
          <w:tcPr>
            <w:tcW w:w="0" w:type="auto"/>
            <w:tcBorders>
              <w:top w:val="nil"/>
              <w:left w:val="nil"/>
              <w:bottom w:val="nil"/>
              <w:right w:val="nil"/>
            </w:tcBorders>
            <w:shd w:val="clear" w:color="auto" w:fill="FFFFFF" w:themeFill="background1"/>
            <w:noWrap/>
            <w:vAlign w:val="bottom"/>
            <w:hideMark/>
          </w:tcPr>
          <w:p w14:paraId="066F436A"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16.39</w:t>
            </w:r>
          </w:p>
        </w:tc>
        <w:tc>
          <w:tcPr>
            <w:tcW w:w="0" w:type="auto"/>
            <w:tcBorders>
              <w:top w:val="nil"/>
              <w:left w:val="nil"/>
              <w:bottom w:val="nil"/>
              <w:right w:val="nil"/>
            </w:tcBorders>
            <w:shd w:val="clear" w:color="auto" w:fill="FFFFFF" w:themeFill="background1"/>
            <w:noWrap/>
            <w:vAlign w:val="bottom"/>
            <w:hideMark/>
          </w:tcPr>
          <w:p w14:paraId="7579FDC4"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33.40</w:t>
            </w:r>
          </w:p>
        </w:tc>
        <w:tc>
          <w:tcPr>
            <w:tcW w:w="0" w:type="auto"/>
            <w:tcBorders>
              <w:top w:val="nil"/>
              <w:left w:val="nil"/>
              <w:bottom w:val="nil"/>
              <w:right w:val="nil"/>
            </w:tcBorders>
            <w:shd w:val="clear" w:color="auto" w:fill="FFFFFF" w:themeFill="background1"/>
            <w:noWrap/>
            <w:vAlign w:val="bottom"/>
            <w:hideMark/>
          </w:tcPr>
          <w:p w14:paraId="6409343F"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37.49</w:t>
            </w:r>
          </w:p>
        </w:tc>
        <w:tc>
          <w:tcPr>
            <w:tcW w:w="0" w:type="auto"/>
            <w:tcBorders>
              <w:top w:val="nil"/>
              <w:left w:val="nil"/>
              <w:bottom w:val="nil"/>
              <w:right w:val="nil"/>
            </w:tcBorders>
            <w:shd w:val="clear" w:color="auto" w:fill="FFFFFF" w:themeFill="background1"/>
            <w:noWrap/>
            <w:vAlign w:val="bottom"/>
            <w:hideMark/>
          </w:tcPr>
          <w:p w14:paraId="50265264"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19.44</w:t>
            </w:r>
          </w:p>
        </w:tc>
        <w:tc>
          <w:tcPr>
            <w:tcW w:w="0" w:type="auto"/>
            <w:tcBorders>
              <w:top w:val="nil"/>
              <w:left w:val="nil"/>
              <w:bottom w:val="nil"/>
              <w:right w:val="nil"/>
            </w:tcBorders>
            <w:shd w:val="clear" w:color="auto" w:fill="FFFFFF" w:themeFill="background1"/>
            <w:noWrap/>
            <w:vAlign w:val="bottom"/>
            <w:hideMark/>
          </w:tcPr>
          <w:p w14:paraId="6933A9AE"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32.28</w:t>
            </w:r>
          </w:p>
        </w:tc>
        <w:tc>
          <w:tcPr>
            <w:tcW w:w="0" w:type="auto"/>
            <w:tcBorders>
              <w:top w:val="nil"/>
              <w:left w:val="nil"/>
              <w:bottom w:val="nil"/>
              <w:right w:val="nil"/>
            </w:tcBorders>
            <w:shd w:val="clear" w:color="auto" w:fill="FFFFFF" w:themeFill="background1"/>
            <w:noWrap/>
            <w:vAlign w:val="bottom"/>
            <w:hideMark/>
          </w:tcPr>
          <w:p w14:paraId="7E0172DD"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0.46</w:t>
            </w:r>
          </w:p>
        </w:tc>
        <w:tc>
          <w:tcPr>
            <w:tcW w:w="0" w:type="auto"/>
            <w:tcBorders>
              <w:top w:val="nil"/>
              <w:left w:val="nil"/>
              <w:bottom w:val="nil"/>
              <w:right w:val="nil"/>
            </w:tcBorders>
            <w:shd w:val="clear" w:color="auto" w:fill="FFFFFF" w:themeFill="background1"/>
            <w:noWrap/>
            <w:vAlign w:val="bottom"/>
            <w:hideMark/>
          </w:tcPr>
          <w:p w14:paraId="18A095C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23.14</w:t>
            </w:r>
          </w:p>
        </w:tc>
        <w:tc>
          <w:tcPr>
            <w:tcW w:w="0" w:type="auto"/>
            <w:tcBorders>
              <w:top w:val="nil"/>
              <w:left w:val="nil"/>
              <w:bottom w:val="nil"/>
              <w:right w:val="single" w:sz="4" w:space="0" w:color="auto"/>
            </w:tcBorders>
            <w:shd w:val="clear" w:color="auto" w:fill="FFFFFF" w:themeFill="background1"/>
            <w:noWrap/>
            <w:vAlign w:val="bottom"/>
            <w:hideMark/>
          </w:tcPr>
          <w:p w14:paraId="639DBE31"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32.03</w:t>
            </w:r>
          </w:p>
        </w:tc>
      </w:tr>
      <w:tr w:rsidR="00010FE8" w:rsidRPr="00010FE8" w14:paraId="1CAF15DB" w14:textId="77777777" w:rsidTr="577BF0F5">
        <w:trPr>
          <w:trHeight w:val="300"/>
        </w:trPr>
        <w:tc>
          <w:tcPr>
            <w:tcW w:w="0" w:type="auto"/>
            <w:tcBorders>
              <w:top w:val="nil"/>
              <w:left w:val="single" w:sz="4" w:space="0" w:color="auto"/>
              <w:bottom w:val="nil"/>
              <w:right w:val="nil"/>
            </w:tcBorders>
            <w:shd w:val="clear" w:color="auto" w:fill="FFFFFF" w:themeFill="background1"/>
            <w:noWrap/>
            <w:vAlign w:val="bottom"/>
            <w:hideMark/>
          </w:tcPr>
          <w:p w14:paraId="5EBC01EE"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2013</w:t>
            </w:r>
          </w:p>
        </w:tc>
        <w:tc>
          <w:tcPr>
            <w:tcW w:w="0" w:type="auto"/>
            <w:tcBorders>
              <w:top w:val="nil"/>
              <w:left w:val="nil"/>
              <w:bottom w:val="nil"/>
              <w:right w:val="nil"/>
            </w:tcBorders>
            <w:shd w:val="clear" w:color="auto" w:fill="FFFFFF" w:themeFill="background1"/>
            <w:noWrap/>
            <w:vAlign w:val="bottom"/>
            <w:hideMark/>
          </w:tcPr>
          <w:p w14:paraId="6DA2F00F"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15.61</w:t>
            </w:r>
          </w:p>
        </w:tc>
        <w:tc>
          <w:tcPr>
            <w:tcW w:w="0" w:type="auto"/>
            <w:tcBorders>
              <w:top w:val="nil"/>
              <w:left w:val="nil"/>
              <w:bottom w:val="nil"/>
              <w:right w:val="nil"/>
            </w:tcBorders>
            <w:shd w:val="clear" w:color="auto" w:fill="FFFFFF" w:themeFill="background1"/>
            <w:noWrap/>
            <w:vAlign w:val="bottom"/>
            <w:hideMark/>
          </w:tcPr>
          <w:p w14:paraId="1EE05F2B"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13.58</w:t>
            </w:r>
          </w:p>
        </w:tc>
        <w:tc>
          <w:tcPr>
            <w:tcW w:w="0" w:type="auto"/>
            <w:tcBorders>
              <w:top w:val="nil"/>
              <w:left w:val="nil"/>
              <w:bottom w:val="nil"/>
              <w:right w:val="nil"/>
            </w:tcBorders>
            <w:shd w:val="clear" w:color="auto" w:fill="FFFFFF" w:themeFill="background1"/>
            <w:noWrap/>
            <w:vAlign w:val="bottom"/>
            <w:hideMark/>
          </w:tcPr>
          <w:p w14:paraId="20AFC7DE"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36.88</w:t>
            </w:r>
          </w:p>
        </w:tc>
        <w:tc>
          <w:tcPr>
            <w:tcW w:w="0" w:type="auto"/>
            <w:tcBorders>
              <w:top w:val="nil"/>
              <w:left w:val="nil"/>
              <w:bottom w:val="nil"/>
              <w:right w:val="nil"/>
            </w:tcBorders>
            <w:shd w:val="clear" w:color="auto" w:fill="FFFFFF" w:themeFill="background1"/>
            <w:noWrap/>
            <w:vAlign w:val="bottom"/>
            <w:hideMark/>
          </w:tcPr>
          <w:p w14:paraId="129361E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31.93</w:t>
            </w:r>
          </w:p>
        </w:tc>
        <w:tc>
          <w:tcPr>
            <w:tcW w:w="0" w:type="auto"/>
            <w:tcBorders>
              <w:top w:val="nil"/>
              <w:left w:val="nil"/>
              <w:bottom w:val="nil"/>
              <w:right w:val="nil"/>
            </w:tcBorders>
            <w:shd w:val="clear" w:color="auto" w:fill="FFFFFF" w:themeFill="background1"/>
            <w:noWrap/>
            <w:vAlign w:val="bottom"/>
            <w:hideMark/>
          </w:tcPr>
          <w:p w14:paraId="3B205F25"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17.65</w:t>
            </w:r>
          </w:p>
        </w:tc>
        <w:tc>
          <w:tcPr>
            <w:tcW w:w="0" w:type="auto"/>
            <w:tcBorders>
              <w:top w:val="nil"/>
              <w:left w:val="nil"/>
              <w:bottom w:val="nil"/>
              <w:right w:val="nil"/>
            </w:tcBorders>
            <w:shd w:val="clear" w:color="auto" w:fill="FFFFFF" w:themeFill="background1"/>
            <w:noWrap/>
            <w:vAlign w:val="bottom"/>
            <w:hideMark/>
          </w:tcPr>
          <w:p w14:paraId="63EEE20F"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29.21</w:t>
            </w:r>
          </w:p>
        </w:tc>
        <w:tc>
          <w:tcPr>
            <w:tcW w:w="0" w:type="auto"/>
            <w:tcBorders>
              <w:top w:val="nil"/>
              <w:left w:val="nil"/>
              <w:bottom w:val="nil"/>
              <w:right w:val="nil"/>
            </w:tcBorders>
            <w:shd w:val="clear" w:color="auto" w:fill="FFFFFF" w:themeFill="background1"/>
            <w:noWrap/>
            <w:vAlign w:val="bottom"/>
            <w:hideMark/>
          </w:tcPr>
          <w:p w14:paraId="5E634E90"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0.19</w:t>
            </w:r>
          </w:p>
        </w:tc>
        <w:tc>
          <w:tcPr>
            <w:tcW w:w="0" w:type="auto"/>
            <w:tcBorders>
              <w:top w:val="nil"/>
              <w:left w:val="nil"/>
              <w:bottom w:val="nil"/>
              <w:right w:val="nil"/>
            </w:tcBorders>
            <w:shd w:val="clear" w:color="auto" w:fill="FFFFFF" w:themeFill="background1"/>
            <w:noWrap/>
            <w:vAlign w:val="bottom"/>
            <w:hideMark/>
          </w:tcPr>
          <w:p w14:paraId="22C9C07B"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21.47</w:t>
            </w:r>
          </w:p>
        </w:tc>
        <w:tc>
          <w:tcPr>
            <w:tcW w:w="0" w:type="auto"/>
            <w:tcBorders>
              <w:top w:val="nil"/>
              <w:left w:val="nil"/>
              <w:bottom w:val="nil"/>
              <w:right w:val="single" w:sz="4" w:space="0" w:color="auto"/>
            </w:tcBorders>
            <w:shd w:val="clear" w:color="auto" w:fill="FFFFFF" w:themeFill="background1"/>
            <w:noWrap/>
            <w:vAlign w:val="bottom"/>
            <w:hideMark/>
          </w:tcPr>
          <w:p w14:paraId="30EA042E"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34.39</w:t>
            </w:r>
          </w:p>
        </w:tc>
      </w:tr>
      <w:tr w:rsidR="00010FE8" w:rsidRPr="00010FE8" w14:paraId="65FC5A6F" w14:textId="77777777" w:rsidTr="577BF0F5">
        <w:trPr>
          <w:trHeight w:val="300"/>
        </w:trPr>
        <w:tc>
          <w:tcPr>
            <w:tcW w:w="0" w:type="auto"/>
            <w:tcBorders>
              <w:top w:val="nil"/>
              <w:left w:val="single" w:sz="4" w:space="0" w:color="auto"/>
              <w:bottom w:val="single" w:sz="4" w:space="0" w:color="auto"/>
              <w:right w:val="nil"/>
            </w:tcBorders>
            <w:shd w:val="clear" w:color="auto" w:fill="FFFFFF" w:themeFill="background1"/>
            <w:noWrap/>
            <w:vAlign w:val="bottom"/>
            <w:hideMark/>
          </w:tcPr>
          <w:p w14:paraId="03E62E6E" w14:textId="77777777" w:rsidR="000F0E73" w:rsidRDefault="577BF0F5" w:rsidP="0014174E">
            <w:pPr>
              <w:rPr>
                <w:color w:val="000000" w:themeColor="text1"/>
                <w:sz w:val="16"/>
                <w:szCs w:val="16"/>
                <w:lang w:val="es-CO" w:eastAsia="es-CO"/>
              </w:rPr>
            </w:pPr>
            <w:r w:rsidRPr="577BF0F5">
              <w:rPr>
                <w:color w:val="000000" w:themeColor="text1"/>
                <w:sz w:val="16"/>
                <w:szCs w:val="16"/>
                <w:lang w:val="es-CO" w:eastAsia="es-CO"/>
              </w:rPr>
              <w:t>2014</w:t>
            </w:r>
          </w:p>
        </w:tc>
        <w:tc>
          <w:tcPr>
            <w:tcW w:w="0" w:type="auto"/>
            <w:tcBorders>
              <w:top w:val="nil"/>
              <w:left w:val="nil"/>
              <w:bottom w:val="single" w:sz="4" w:space="0" w:color="auto"/>
              <w:right w:val="nil"/>
            </w:tcBorders>
            <w:shd w:val="clear" w:color="auto" w:fill="FFFFFF" w:themeFill="background1"/>
            <w:noWrap/>
            <w:vAlign w:val="bottom"/>
            <w:hideMark/>
          </w:tcPr>
          <w:p w14:paraId="308FEA75"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14.92</w:t>
            </w:r>
          </w:p>
        </w:tc>
        <w:tc>
          <w:tcPr>
            <w:tcW w:w="0" w:type="auto"/>
            <w:tcBorders>
              <w:top w:val="nil"/>
              <w:left w:val="nil"/>
              <w:bottom w:val="single" w:sz="4" w:space="0" w:color="auto"/>
              <w:right w:val="nil"/>
            </w:tcBorders>
            <w:shd w:val="clear" w:color="auto" w:fill="FFFFFF" w:themeFill="background1"/>
            <w:noWrap/>
            <w:vAlign w:val="bottom"/>
            <w:hideMark/>
          </w:tcPr>
          <w:p w14:paraId="1C2262B2"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3.63</w:t>
            </w:r>
          </w:p>
        </w:tc>
        <w:tc>
          <w:tcPr>
            <w:tcW w:w="0" w:type="auto"/>
            <w:tcBorders>
              <w:top w:val="nil"/>
              <w:left w:val="nil"/>
              <w:bottom w:val="single" w:sz="4" w:space="0" w:color="auto"/>
              <w:right w:val="nil"/>
            </w:tcBorders>
            <w:shd w:val="clear" w:color="auto" w:fill="FFFFFF" w:themeFill="background1"/>
            <w:noWrap/>
            <w:vAlign w:val="bottom"/>
            <w:hideMark/>
          </w:tcPr>
          <w:p w14:paraId="6E31187C"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43.30</w:t>
            </w:r>
          </w:p>
        </w:tc>
        <w:tc>
          <w:tcPr>
            <w:tcW w:w="0" w:type="auto"/>
            <w:tcBorders>
              <w:top w:val="nil"/>
              <w:left w:val="nil"/>
              <w:bottom w:val="single" w:sz="4" w:space="0" w:color="auto"/>
              <w:right w:val="nil"/>
            </w:tcBorders>
            <w:shd w:val="clear" w:color="auto" w:fill="FFFFFF" w:themeFill="background1"/>
            <w:noWrap/>
            <w:vAlign w:val="bottom"/>
            <w:hideMark/>
          </w:tcPr>
          <w:p w14:paraId="6C85345F"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34.87</w:t>
            </w:r>
          </w:p>
        </w:tc>
        <w:tc>
          <w:tcPr>
            <w:tcW w:w="0" w:type="auto"/>
            <w:tcBorders>
              <w:top w:val="nil"/>
              <w:left w:val="nil"/>
              <w:bottom w:val="single" w:sz="4" w:space="0" w:color="auto"/>
              <w:right w:val="nil"/>
            </w:tcBorders>
            <w:shd w:val="clear" w:color="auto" w:fill="FFFFFF" w:themeFill="background1"/>
            <w:noWrap/>
            <w:vAlign w:val="bottom"/>
            <w:hideMark/>
          </w:tcPr>
          <w:p w14:paraId="4D370CEF"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18.37</w:t>
            </w:r>
          </w:p>
        </w:tc>
        <w:tc>
          <w:tcPr>
            <w:tcW w:w="0" w:type="auto"/>
            <w:tcBorders>
              <w:top w:val="nil"/>
              <w:left w:val="nil"/>
              <w:bottom w:val="single" w:sz="4" w:space="0" w:color="auto"/>
              <w:right w:val="nil"/>
            </w:tcBorders>
            <w:shd w:val="clear" w:color="auto" w:fill="FFFFFF" w:themeFill="background1"/>
            <w:noWrap/>
            <w:vAlign w:val="bottom"/>
            <w:hideMark/>
          </w:tcPr>
          <w:p w14:paraId="53F8005E"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30.12</w:t>
            </w:r>
          </w:p>
        </w:tc>
        <w:tc>
          <w:tcPr>
            <w:tcW w:w="0" w:type="auto"/>
            <w:tcBorders>
              <w:top w:val="nil"/>
              <w:left w:val="nil"/>
              <w:bottom w:val="single" w:sz="4" w:space="0" w:color="auto"/>
              <w:right w:val="nil"/>
            </w:tcBorders>
            <w:shd w:val="clear" w:color="auto" w:fill="FFFFFF" w:themeFill="background1"/>
            <w:noWrap/>
            <w:vAlign w:val="bottom"/>
            <w:hideMark/>
          </w:tcPr>
          <w:p w14:paraId="6C33044A"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0.78</w:t>
            </w:r>
          </w:p>
        </w:tc>
        <w:tc>
          <w:tcPr>
            <w:tcW w:w="0" w:type="auto"/>
            <w:tcBorders>
              <w:top w:val="nil"/>
              <w:left w:val="nil"/>
              <w:bottom w:val="single" w:sz="4" w:space="0" w:color="auto"/>
              <w:right w:val="nil"/>
            </w:tcBorders>
            <w:shd w:val="clear" w:color="auto" w:fill="FFFFFF" w:themeFill="background1"/>
            <w:noWrap/>
            <w:vAlign w:val="bottom"/>
            <w:hideMark/>
          </w:tcPr>
          <w:p w14:paraId="7C388B88"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24.52</w:t>
            </w:r>
          </w:p>
        </w:tc>
        <w:tc>
          <w:tcPr>
            <w:tcW w:w="0" w:type="auto"/>
            <w:tcBorders>
              <w:top w:val="nil"/>
              <w:left w:val="nil"/>
              <w:bottom w:val="single" w:sz="4" w:space="0" w:color="auto"/>
              <w:right w:val="single" w:sz="4" w:space="0" w:color="auto"/>
            </w:tcBorders>
            <w:shd w:val="clear" w:color="auto" w:fill="FFFFFF" w:themeFill="background1"/>
            <w:noWrap/>
            <w:vAlign w:val="bottom"/>
            <w:hideMark/>
          </w:tcPr>
          <w:p w14:paraId="204DDBF7" w14:textId="77777777" w:rsidR="000F0E73" w:rsidRDefault="577BF0F5" w:rsidP="0014174E">
            <w:pPr>
              <w:jc w:val="right"/>
              <w:rPr>
                <w:color w:val="000000" w:themeColor="text1"/>
                <w:sz w:val="16"/>
                <w:szCs w:val="16"/>
                <w:lang w:val="es-CO" w:eastAsia="es-CO"/>
              </w:rPr>
            </w:pPr>
            <w:r w:rsidRPr="577BF0F5">
              <w:rPr>
                <w:color w:val="000000" w:themeColor="text1"/>
                <w:sz w:val="16"/>
                <w:szCs w:val="16"/>
                <w:lang w:val="es-CO" w:eastAsia="es-CO"/>
              </w:rPr>
              <w:t>32.34</w:t>
            </w:r>
          </w:p>
        </w:tc>
      </w:tr>
    </w:tbl>
    <w:p w14:paraId="1D264E03" w14:textId="1A7BDD17" w:rsidR="000F0E73" w:rsidRDefault="577BF0F5" w:rsidP="0014174E">
      <w:pPr>
        <w:jc w:val="both"/>
        <w:rPr>
          <w:sz w:val="20"/>
          <w:szCs w:val="20"/>
        </w:rPr>
      </w:pPr>
      <w:r w:rsidRPr="577BF0F5">
        <w:rPr>
          <w:sz w:val="20"/>
          <w:szCs w:val="20"/>
        </w:rPr>
        <w:t>Fuente: Cálculos propios con datos de Bloomberg</w:t>
      </w:r>
    </w:p>
    <w:p w14:paraId="618B7BF7" w14:textId="77777777" w:rsidR="000F0E73" w:rsidRDefault="000F0E73" w:rsidP="0014174E">
      <w:pPr>
        <w:jc w:val="both"/>
      </w:pPr>
    </w:p>
    <w:p w14:paraId="3F1F9962" w14:textId="7A187EF1" w:rsidR="000F0E73" w:rsidRDefault="577BF0F5" w:rsidP="0014174E">
      <w:pPr>
        <w:ind w:firstLine="708"/>
        <w:jc w:val="both"/>
      </w:pPr>
      <w:r>
        <w:t>La estrategia econométrica se lleva a cabo en</w:t>
      </w:r>
      <w:r w:rsidR="002241D4">
        <w:t xml:space="preserve"> dos etapas. En la primera</w:t>
      </w:r>
      <w:r>
        <w:t xml:space="preserve"> se consideran cuatro modelos: uno general y tres específicos. En el modelo general se puede identificar el efecto de las diferente</w:t>
      </w:r>
      <w:r w:rsidR="009F4A07">
        <w:t>s variables asociadas a la estabi</w:t>
      </w:r>
      <w:r>
        <w:t>lidad financiera</w:t>
      </w:r>
      <w:r w:rsidR="009F4A07">
        <w:t>, al desempeño del sector</w:t>
      </w:r>
      <w:r>
        <w:t xml:space="preserve"> y las variables </w:t>
      </w:r>
      <w:r w:rsidR="009F4A07">
        <w:t xml:space="preserve">de </w:t>
      </w:r>
      <w:r>
        <w:t>control; toma la forma en [1]:</w:t>
      </w:r>
    </w:p>
    <w:p w14:paraId="3A4C1899" w14:textId="77777777" w:rsidR="000F0E73" w:rsidRDefault="000F0E73" w:rsidP="0014174E">
      <w:pPr>
        <w:ind w:firstLine="708"/>
        <w:jc w:val="both"/>
      </w:pPr>
    </w:p>
    <w:p w14:paraId="145870D0" w14:textId="17B47E5E" w:rsidR="000F0E73" w:rsidRDefault="00AC55AB" w:rsidP="0014174E">
      <w:pPr>
        <w:ind w:left="-851" w:right="-1227"/>
        <w:jc w:val="center"/>
        <w:rPr>
          <w:iCs/>
        </w:rPr>
      </w:pPr>
      <m:oMath>
        <m:sSub>
          <m:sSubPr>
            <m:ctrlPr>
              <w:rPr>
                <w:rFonts w:ascii="Cambria Math" w:hAnsi="Cambria Math"/>
                <w:i/>
                <w:iCs/>
              </w:rPr>
            </m:ctrlPr>
          </m:sSubPr>
          <m:e>
            <m:r>
              <w:rPr>
                <w:rFonts w:ascii="Cambria Math" w:hAnsi="Cambria Math"/>
                <w:lang w:val="en-US"/>
              </w:rPr>
              <m:t>AP</m:t>
            </m:r>
          </m:e>
          <m:sub>
            <m:r>
              <m:rPr>
                <m:sty m:val="p"/>
              </m:rPr>
              <w:rPr>
                <w:rFonts w:ascii="Cambria Math" w:hAnsi="Cambria Math"/>
              </w:rPr>
              <m:t>isjt </m:t>
            </m:r>
          </m:sub>
        </m:sSub>
        <m:sSub>
          <m:sSubPr>
            <m:ctrlPr>
              <w:rPr>
                <w:rFonts w:ascii="Cambria Math" w:hAnsi="Cambria Math"/>
                <w:i/>
                <w:iCs/>
              </w:rPr>
            </m:ctrlPr>
          </m:sSubPr>
          <m:e>
            <m:r>
              <m:rPr>
                <m:sty m:val="p"/>
              </m:rPr>
              <w:rPr>
                <w:rFonts w:ascii="Cambria Math" w:hAnsi="Cambria Math"/>
              </w:rPr>
              <m:t>= </m:t>
            </m:r>
            <m:r>
              <m:rPr>
                <m:sty m:val="p"/>
              </m:rPr>
              <w:rPr>
                <w:rFonts w:ascii="Cambria Math" w:hAnsi="Cambria Math"/>
                <w:lang w:val="en-US"/>
              </w:rPr>
              <m:t>α</m:t>
            </m:r>
          </m:e>
          <m:sub>
            <m:r>
              <m:rPr>
                <m:sty m:val="p"/>
              </m:rPr>
              <w:rPr>
                <w:rFonts w:ascii="Cambria Math" w:hAnsi="Cambria Math"/>
              </w:rPr>
              <m:t>isjt</m:t>
            </m:r>
          </m:sub>
        </m:sSub>
        <m:r>
          <w:rPr>
            <w:rFonts w:ascii="Cambria Math" w:hAnsi="Cambria Math"/>
          </w:rPr>
          <m:t>+</m:t>
        </m:r>
        <m:sSub>
          <m:sSubPr>
            <m:ctrlPr>
              <w:rPr>
                <w:rFonts w:ascii="Cambria Math" w:hAnsi="Cambria Math"/>
                <w:i/>
                <w:iCs/>
              </w:rPr>
            </m:ctrlPr>
          </m:sSubPr>
          <m:e>
            <m:sSup>
              <m:sSupPr>
                <m:ctrlPr>
                  <w:rPr>
                    <w:rFonts w:ascii="Cambria Math" w:hAnsi="Cambria Math"/>
                    <w:i/>
                    <w:lang w:val="en-US"/>
                  </w:rPr>
                </m:ctrlPr>
              </m:sSupPr>
              <m:e>
                <m:r>
                  <w:rPr>
                    <w:rFonts w:ascii="Cambria Math" w:hAnsi="Cambria Math"/>
                    <w:lang w:val="en-US"/>
                  </w:rPr>
                  <m:t>β</m:t>
                </m:r>
              </m:e>
              <m:sup>
                <m:r>
                  <w:rPr>
                    <w:rFonts w:ascii="Cambria Math" w:hAnsi="Cambria Math"/>
                  </w:rPr>
                  <m:t>'</m:t>
                </m:r>
              </m:sup>
            </m:sSup>
            <m:r>
              <w:rPr>
                <w:rFonts w:ascii="Cambria Math" w:hAnsi="Cambria Math"/>
              </w:rPr>
              <m:t> </m:t>
            </m:r>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estabilidad</m:t>
                </m:r>
              </m:sup>
            </m:sSup>
          </m:e>
          <m:sub>
            <m:r>
              <m:rPr>
                <m:sty m:val="p"/>
              </m:rPr>
              <w:rPr>
                <w:rFonts w:ascii="Cambria Math" w:hAnsi="Cambria Math"/>
              </w:rPr>
              <m:t>isjt</m:t>
            </m:r>
          </m:sub>
        </m:sSub>
        <m:r>
          <w:rPr>
            <w:rFonts w:ascii="Cambria Math" w:hAnsi="Cambria Math"/>
          </w:rPr>
          <m:t>+</m:t>
        </m:r>
        <m:sSub>
          <m:sSubPr>
            <m:ctrlPr>
              <w:rPr>
                <w:rFonts w:ascii="Cambria Math" w:hAnsi="Cambria Math"/>
                <w:i/>
                <w:iCs/>
              </w:rPr>
            </m:ctrlPr>
          </m:sSubPr>
          <m:e>
            <m:sSup>
              <m:sSupPr>
                <m:ctrlPr>
                  <w:rPr>
                    <w:rFonts w:ascii="Cambria Math" w:hAnsi="Cambria Math"/>
                    <w:i/>
                    <w:lang w:val="en-US"/>
                  </w:rPr>
                </m:ctrlPr>
              </m:sSupPr>
              <m:e>
                <m:r>
                  <w:rPr>
                    <w:rFonts w:ascii="Cambria Math" w:hAnsi="Cambria Math"/>
                    <w:lang w:val="en-US"/>
                  </w:rPr>
                  <m:t>∂</m:t>
                </m:r>
              </m:e>
              <m:sup>
                <m:r>
                  <w:rPr>
                    <w:rFonts w:ascii="Cambria Math" w:hAnsi="Cambria Math"/>
                  </w:rPr>
                  <m:t>'</m:t>
                </m:r>
              </m:sup>
            </m:sSup>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sector</m:t>
                </m:r>
              </m:sup>
            </m:sSup>
          </m:e>
          <m:sub>
            <m:r>
              <m:rPr>
                <m:sty m:val="p"/>
              </m:rPr>
              <w:rPr>
                <w:rFonts w:ascii="Cambria Math" w:hAnsi="Cambria Math"/>
              </w:rPr>
              <m:t>isjt</m:t>
            </m:r>
          </m:sub>
        </m:sSub>
        <m:r>
          <w:rPr>
            <w:rFonts w:ascii="Cambria Math" w:hAnsi="Cambria Math"/>
          </w:rPr>
          <m:t>+</m:t>
        </m:r>
        <m:sSub>
          <m:sSubPr>
            <m:ctrlPr>
              <w:rPr>
                <w:rFonts w:ascii="Cambria Math" w:hAnsi="Cambria Math"/>
                <w:i/>
                <w:iCs/>
              </w:rPr>
            </m:ctrlPr>
          </m:sSubPr>
          <m:e>
            <m:sSup>
              <m:sSupPr>
                <m:ctrlPr>
                  <w:rPr>
                    <w:rFonts w:ascii="Cambria Math" w:hAnsi="Cambria Math"/>
                    <w:i/>
                    <w:lang w:val="en-US"/>
                  </w:rPr>
                </m:ctrlPr>
              </m:sSupPr>
              <m:e>
                <m:r>
                  <w:rPr>
                    <w:rFonts w:ascii="Cambria Math" w:hAnsi="Cambria Math"/>
                    <w:lang w:val="en-US"/>
                  </w:rPr>
                  <m:t>θ</m:t>
                </m:r>
              </m:e>
              <m:sup>
                <m:r>
                  <w:rPr>
                    <w:rFonts w:ascii="Cambria Math" w:hAnsi="Cambria Math"/>
                  </w:rPr>
                  <m:t>'</m:t>
                </m:r>
              </m:sup>
            </m:sSup>
            <m:r>
              <w:rPr>
                <w:rFonts w:ascii="Cambria Math" w:hAnsi="Cambria Math"/>
                <w:lang w:val="en-US"/>
              </w:rPr>
              <m:t>Z</m:t>
            </m:r>
            <m:r>
              <w:rPr>
                <w:rFonts w:ascii="Cambria Math" w:hAnsi="Cambria Math"/>
              </w:rPr>
              <m:t> </m:t>
            </m:r>
          </m:e>
          <m:sub>
            <m:r>
              <m:rPr>
                <m:sty m:val="p"/>
              </m:rPr>
              <w:rPr>
                <w:rFonts w:ascii="Cambria Math" w:hAnsi="Cambria Math"/>
              </w:rPr>
              <m:t>isjt</m:t>
            </m:r>
          </m:sub>
        </m:sSub>
        <m:r>
          <w:rPr>
            <w:rFonts w:ascii="Cambria Math" w:hAnsi="Cambria Math"/>
          </w:rPr>
          <m:t>+ </m:t>
        </m:r>
        <m:sSub>
          <m:sSubPr>
            <m:ctrlPr>
              <w:rPr>
                <w:rFonts w:ascii="Cambria Math" w:hAnsi="Cambria Math"/>
                <w:i/>
                <w:iCs/>
              </w:rPr>
            </m:ctrlPr>
          </m:sSubPr>
          <m:e>
            <m:r>
              <w:rPr>
                <w:rFonts w:ascii="Cambria Math" w:hAnsi="Cambria Math"/>
                <w:lang w:val="en-US"/>
              </w:rPr>
              <m:t>u</m:t>
            </m:r>
          </m:e>
          <m:sub>
            <m:r>
              <m:rPr>
                <m:sty m:val="p"/>
              </m:rPr>
              <w:rPr>
                <w:rFonts w:ascii="Cambria Math" w:hAnsi="Cambria Math"/>
              </w:rPr>
              <m:t>isjt</m:t>
            </m:r>
          </m:sub>
        </m:sSub>
      </m:oMath>
      <w:r w:rsidR="00C66BAF" w:rsidRPr="577BF0F5">
        <w:t xml:space="preserve">  </w:t>
      </w:r>
      <w:r w:rsidR="00C66BAF">
        <w:rPr>
          <w:iCs/>
        </w:rPr>
        <w:tab/>
      </w:r>
      <w:r w:rsidR="00C66BAF">
        <w:rPr>
          <w:iCs/>
        </w:rPr>
        <w:tab/>
      </w:r>
      <w:r w:rsidR="00C66BAF">
        <w:rPr>
          <w:iCs/>
        </w:rPr>
        <w:tab/>
      </w:r>
      <w:r w:rsidR="00C66BAF" w:rsidRPr="577BF0F5">
        <w:t>[1]</w:t>
      </w:r>
    </w:p>
    <w:p w14:paraId="1FEC9D21" w14:textId="77777777" w:rsidR="000F0E73" w:rsidRDefault="000F0E73" w:rsidP="0014174E">
      <w:pPr>
        <w:ind w:left="-851" w:right="-1227"/>
        <w:jc w:val="both"/>
        <w:rPr>
          <w:iCs/>
        </w:rPr>
      </w:pPr>
    </w:p>
    <w:p w14:paraId="5354ABFE" w14:textId="528CE666" w:rsidR="000F0E73" w:rsidRDefault="00C66BAF" w:rsidP="0014174E">
      <w:pPr>
        <w:ind w:firstLine="708"/>
        <w:jc w:val="both"/>
        <w:rPr>
          <w:lang w:val="es-CO"/>
        </w:rPr>
      </w:pPr>
      <w:r w:rsidRPr="577BF0F5">
        <w:t>Donde los subíndices “</w:t>
      </w:r>
      <w:r w:rsidRPr="577BF0F5">
        <w:rPr>
          <w:i/>
          <w:iCs/>
        </w:rPr>
        <w:t xml:space="preserve">i” </w:t>
      </w:r>
      <w:r w:rsidRPr="577BF0F5">
        <w:t>corresponden a la empresa, “</w:t>
      </w:r>
      <w:r w:rsidRPr="577BF0F5">
        <w:rPr>
          <w:i/>
          <w:iCs/>
        </w:rPr>
        <w:t>s”</w:t>
      </w:r>
      <w:r w:rsidRPr="577BF0F5">
        <w:t xml:space="preserve"> corresponde al sector, “</w:t>
      </w:r>
      <w:r w:rsidRPr="577BF0F5">
        <w:rPr>
          <w:i/>
          <w:iCs/>
        </w:rPr>
        <w:t>j</w:t>
      </w:r>
      <w:r w:rsidRPr="577BF0F5">
        <w:t>” corresponde al país y “</w:t>
      </w:r>
      <w:r w:rsidRPr="577BF0F5">
        <w:rPr>
          <w:i/>
          <w:iCs/>
        </w:rPr>
        <w:t xml:space="preserve">t” </w:t>
      </w:r>
      <w:r w:rsidRPr="577BF0F5">
        <w:t xml:space="preserve">corresponde al trimestre. La variable AP </w:t>
      </w:r>
      <w:r w:rsidR="00DE116E" w:rsidRPr="577BF0F5">
        <w:t>representa e</w:t>
      </w:r>
      <w:r w:rsidRPr="577BF0F5">
        <w:t xml:space="preserve">l Apalancamiento de las empresas. Entre las variables </w:t>
      </w: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estabilidad</m:t>
            </m:r>
          </m:sup>
        </m:sSup>
      </m:oMath>
      <w:r w:rsidRPr="577BF0F5">
        <w:t xml:space="preserve"> se encuentra la Razón Corriente y la variable dicótoma de pérdidas; ambas</w:t>
      </w:r>
      <w:r w:rsidR="009F4A07">
        <w:t xml:space="preserve"> variables representan el desempeño financiero</w:t>
      </w:r>
      <w:r w:rsidRPr="577BF0F5">
        <w:t xml:space="preserve"> </w:t>
      </w:r>
      <w:r w:rsidR="009F4A07">
        <w:t xml:space="preserve">y el origen de la inestabilidad </w:t>
      </w:r>
      <w:r w:rsidRPr="577BF0F5">
        <w:t>por razones internas de las compañías</w:t>
      </w:r>
      <w:r w:rsidR="00DE116E" w:rsidRPr="577BF0F5">
        <w:t>.</w:t>
      </w:r>
      <w:r w:rsidR="00133728" w:rsidRPr="577BF0F5">
        <w:t xml:space="preserve"> </w:t>
      </w:r>
      <w:r w:rsidR="00DE116E" w:rsidRPr="577BF0F5">
        <w:t>L</w:t>
      </w:r>
      <w:r w:rsidR="00133728" w:rsidRPr="577BF0F5">
        <w:t xml:space="preserve">a primera considera </w:t>
      </w:r>
      <w:r w:rsidR="00B9456F" w:rsidRPr="577BF0F5">
        <w:t>los posibles problemas de liquidez</w:t>
      </w:r>
      <w:r w:rsidR="00565BFC" w:rsidRPr="577BF0F5">
        <w:t>,</w:t>
      </w:r>
      <w:r w:rsidR="00B9456F" w:rsidRPr="577BF0F5">
        <w:t xml:space="preserve"> </w:t>
      </w:r>
      <w:r w:rsidR="00133728" w:rsidRPr="577BF0F5">
        <w:t xml:space="preserve">y la segunda </w:t>
      </w:r>
      <w:r w:rsidR="00B9456F" w:rsidRPr="577BF0F5">
        <w:t>es un indicador de inicio de crisis para las empresas</w:t>
      </w:r>
      <w:r w:rsidRPr="577BF0F5">
        <w:t xml:space="preserve">. Entre las variables </w:t>
      </w:r>
      <m:oMath>
        <m:sSup>
          <m:sSupPr>
            <m:ctrlPr>
              <w:rPr>
                <w:rFonts w:ascii="Cambria Math" w:hAnsi="Cambria Math"/>
                <w:i/>
                <w:lang w:val="en-US"/>
              </w:rPr>
            </m:ctrlPr>
          </m:sSupPr>
          <m:e>
            <m:r>
              <w:rPr>
                <w:rFonts w:ascii="Cambria Math" w:hAnsi="Cambria Math"/>
                <w:lang w:val="en-US"/>
              </w:rPr>
              <m:t>X</m:t>
            </m:r>
          </m:e>
          <m:sup>
            <m:r>
              <w:rPr>
                <w:rFonts w:ascii="Cambria Math" w:hAnsi="Cambria Math"/>
                <w:lang w:val="en-US"/>
              </w:rPr>
              <m:t>sector</m:t>
            </m:r>
          </m:sup>
        </m:sSup>
      </m:oMath>
      <w:r w:rsidRPr="00850B99">
        <w:rPr>
          <w:lang w:val="es-CO"/>
        </w:rPr>
        <w:t xml:space="preserve"> está la variable dicótoma de pér</w:t>
      </w:r>
      <w:r w:rsidR="00DA1582">
        <w:rPr>
          <w:lang w:val="es-CO"/>
        </w:rPr>
        <w:t>didas del sector, el</w:t>
      </w:r>
      <w:r w:rsidRPr="00850B99">
        <w:rPr>
          <w:lang w:val="es-CO"/>
        </w:rPr>
        <w:t xml:space="preserve"> crecimiento del sector y la variable dicótoma de crecimiento relacionado </w:t>
      </w:r>
      <w:r w:rsidR="00565BFC">
        <w:rPr>
          <w:lang w:val="es-CO"/>
        </w:rPr>
        <w:t>con</w:t>
      </w:r>
      <w:r w:rsidRPr="00850B99">
        <w:rPr>
          <w:lang w:val="es-CO"/>
        </w:rPr>
        <w:t xml:space="preserve"> otros sectores afines; todas estas variables representan </w:t>
      </w:r>
      <w:r w:rsidR="009F4A07">
        <w:rPr>
          <w:lang w:val="es-CO"/>
        </w:rPr>
        <w:t>escenarios de inestabi</w:t>
      </w:r>
      <w:r w:rsidR="00B9456F">
        <w:rPr>
          <w:lang w:val="es-CO"/>
        </w:rPr>
        <w:t xml:space="preserve">lidad financiera </w:t>
      </w:r>
      <w:r w:rsidRPr="00850B99">
        <w:rPr>
          <w:lang w:val="es-CO"/>
        </w:rPr>
        <w:t xml:space="preserve">por razones externas de las compañías. Entre las variables </w:t>
      </w:r>
      <m:oMath>
        <m:r>
          <w:rPr>
            <w:rFonts w:ascii="Cambria Math" w:hAnsi="Cambria Math"/>
            <w:lang w:val="en-US"/>
          </w:rPr>
          <m:t>Z</m:t>
        </m:r>
      </m:oMath>
      <w:r w:rsidRPr="00850B99">
        <w:rPr>
          <w:lang w:val="es-CO"/>
        </w:rPr>
        <w:t xml:space="preserve"> se encuentran las demás variables de control</w:t>
      </w:r>
      <w:r>
        <w:rPr>
          <w:lang w:val="es-CO"/>
        </w:rPr>
        <w:t xml:space="preserve">. </w:t>
      </w:r>
    </w:p>
    <w:p w14:paraId="6DFCF984" w14:textId="77777777" w:rsidR="0014174E" w:rsidRDefault="0014174E" w:rsidP="0014174E">
      <w:pPr>
        <w:ind w:firstLine="708"/>
        <w:jc w:val="both"/>
        <w:rPr>
          <w:lang w:val="es-CO"/>
        </w:rPr>
      </w:pPr>
    </w:p>
    <w:p w14:paraId="0ED4BCEB" w14:textId="77B2C753" w:rsidR="000F0E73" w:rsidRDefault="577BF0F5" w:rsidP="0014174E">
      <w:pPr>
        <w:ind w:firstLine="708"/>
        <w:jc w:val="both"/>
      </w:pPr>
      <w:r>
        <w:lastRenderedPageBreak/>
        <w:t>Sin embargo, se consideran otros tres modelos, que fueron establecidos con base en la literatura revisada: el modelo 2 corresponde al apalancamiento en función de</w:t>
      </w:r>
      <w:r w:rsidR="009F4A07">
        <w:t xml:space="preserve"> las variables asociadas a la inestabilidad </w:t>
      </w:r>
      <w:r>
        <w:t xml:space="preserve">financiera (tanto </w:t>
      </w:r>
      <w:r w:rsidR="009F4A07">
        <w:t>del nivel de firma</w:t>
      </w:r>
      <w:r w:rsidR="00846173">
        <w:t xml:space="preserve"> como sectoriale</w:t>
      </w:r>
      <w:r>
        <w:t xml:space="preserve">s); el modelo 3 corresponde al apalancamiento en función de las variables de cada empresa (es decir, </w:t>
      </w:r>
      <w:r w:rsidR="009F4A07">
        <w:t>razones internas</w:t>
      </w:r>
      <w:r>
        <w:t xml:space="preserve">), y, finalmente, el modelo 4 corresponde al apalancamiento en función de las variables del sector y el país (variables </w:t>
      </w:r>
      <w:r w:rsidR="00846173">
        <w:t xml:space="preserve">sectoriales y </w:t>
      </w:r>
      <w:r>
        <w:t>macroeconómicas).</w:t>
      </w:r>
    </w:p>
    <w:p w14:paraId="1CFD397D" w14:textId="77777777" w:rsidR="0014174E" w:rsidRDefault="0014174E" w:rsidP="0014174E">
      <w:pPr>
        <w:ind w:firstLine="708"/>
        <w:jc w:val="both"/>
        <w:rPr>
          <w:iCs/>
        </w:rPr>
      </w:pPr>
    </w:p>
    <w:p w14:paraId="124CDBAD" w14:textId="42585DF5" w:rsidR="000F0E73" w:rsidRDefault="577BF0F5" w:rsidP="0014174E">
      <w:pPr>
        <w:ind w:firstLine="708"/>
        <w:jc w:val="both"/>
      </w:pPr>
      <w:r>
        <w:t xml:space="preserve">En la segunda etapa se realiza un análisis de robustez de los resultados del modelo general (estimado en la primera etapa), para lo cual se hacen regresiones por separado de los dos países y se contrasta la consistencia de los resultados iniciales. Además, se realizan dos regresiones adicionales para distinguir los resultados entre el sector financiero (bancos y compañías financieras) y el sector real (industrias no financieras). Esto último permite comprobar si en los bancos y en otras entidades financieras tienden a ser más importantes los factores asociados a la </w:t>
      </w:r>
      <w:r w:rsidR="006D4E38">
        <w:t xml:space="preserve">estabilidad </w:t>
      </w:r>
      <w:r>
        <w:t xml:space="preserve">financiera que en las sociedades de la economía real; esto resulta pertinente porque la literatura sobre fragilidad financiera </w:t>
      </w:r>
      <w:r w:rsidR="006D4E38">
        <w:t xml:space="preserve">(ligada a un escenario de inestabilidad financiera) </w:t>
      </w:r>
      <w:r>
        <w:t xml:space="preserve">se ha concentrado en explicar este riesgo financiero en el sector bancario.   </w:t>
      </w:r>
    </w:p>
    <w:p w14:paraId="39931FB1" w14:textId="77777777" w:rsidR="0014174E" w:rsidRDefault="0014174E" w:rsidP="0014174E">
      <w:pPr>
        <w:ind w:firstLine="708"/>
        <w:jc w:val="both"/>
        <w:rPr>
          <w:iCs/>
        </w:rPr>
      </w:pPr>
    </w:p>
    <w:p w14:paraId="36FEFCC5" w14:textId="4D7C6949" w:rsidR="000F0E73" w:rsidRDefault="577BF0F5" w:rsidP="0014174E">
      <w:pPr>
        <w:ind w:firstLine="708"/>
        <w:jc w:val="both"/>
      </w:pPr>
      <w:r>
        <w:t xml:space="preserve">Ahora, es de destacar que la intuición económica detrás de esta investigación es que las empresas, normalmente, conservan un nivel fijo de endeudamiento, sin embargo, cuando se presenta un episodio de </w:t>
      </w:r>
      <w:r w:rsidR="00A92FCE">
        <w:t>inestabi</w:t>
      </w:r>
      <w:r>
        <w:t xml:space="preserve">lidad financiera los costos de endeudarse aumentan y las compañías deben disminuir su deuda. Asimismo, se asume que las empresas no modifican su apalancamiento al unísono en un momento de crisis, sino que este cambio se puede evidenciar en períodos posteriores; por esta razón, fue necesario incluir variables rezagadas, con el fin de evidenciar este efecto. </w:t>
      </w:r>
    </w:p>
    <w:p w14:paraId="5C339461" w14:textId="77777777" w:rsidR="0014174E" w:rsidRDefault="0014174E" w:rsidP="0014174E">
      <w:pPr>
        <w:ind w:firstLine="708"/>
        <w:jc w:val="both"/>
      </w:pPr>
    </w:p>
    <w:p w14:paraId="35E645F0" w14:textId="23AF76AF" w:rsidR="000F0E73" w:rsidRDefault="577BF0F5" w:rsidP="0014174E">
      <w:pPr>
        <w:ind w:firstLine="708"/>
        <w:jc w:val="both"/>
        <w:rPr>
          <w:iCs/>
        </w:rPr>
      </w:pPr>
      <w:r>
        <w:t>De acuerdo con la formulación del modelo es posible señalar l</w:t>
      </w:r>
      <w:r w:rsidR="00A44FA5">
        <w:t>os signos esperados de los coeficientes</w:t>
      </w:r>
      <w:r>
        <w:t xml:space="preserve"> para las variables utilizadas (véase Tabla 4). Todos estos signos esperados tienen un sustento en la literatura, con base en diversos autores, pero en particular con base en los estudios de Niu (2008), quien realizó una investigación sobre múltiples determinantes del apalancamiento empresarial.</w:t>
      </w:r>
    </w:p>
    <w:p w14:paraId="5E15D13E" w14:textId="77777777" w:rsidR="000F0E73" w:rsidRDefault="000F0E73" w:rsidP="0014174E">
      <w:pPr>
        <w:ind w:firstLine="708"/>
        <w:jc w:val="center"/>
        <w:rPr>
          <w:b/>
          <w:iCs/>
        </w:rPr>
      </w:pPr>
    </w:p>
    <w:p w14:paraId="06091530" w14:textId="77777777" w:rsidR="00F95C56" w:rsidRDefault="577BF0F5" w:rsidP="007A272B">
      <w:pPr>
        <w:jc w:val="center"/>
        <w:outlineLvl w:val="0"/>
        <w:rPr>
          <w:b/>
          <w:bCs/>
        </w:rPr>
      </w:pPr>
      <w:r w:rsidRPr="577BF0F5">
        <w:rPr>
          <w:b/>
          <w:bCs/>
        </w:rPr>
        <w:t>Tabla 4. Descripción de las variables</w:t>
      </w:r>
    </w:p>
    <w:tbl>
      <w:tblPr>
        <w:tblStyle w:val="Tablaconcuadrcula"/>
        <w:tblW w:w="0" w:type="auto"/>
        <w:tblLook w:val="04A0" w:firstRow="1" w:lastRow="0" w:firstColumn="1" w:lastColumn="0" w:noHBand="0" w:noVBand="1"/>
      </w:tblPr>
      <w:tblGrid>
        <w:gridCol w:w="6941"/>
        <w:gridCol w:w="1887"/>
      </w:tblGrid>
      <w:tr w:rsidR="000B14DD" w:rsidRPr="00850B99" w14:paraId="5DC634C2" w14:textId="77777777" w:rsidTr="577BF0F5">
        <w:tc>
          <w:tcPr>
            <w:tcW w:w="6941" w:type="dxa"/>
            <w:shd w:val="clear" w:color="auto" w:fill="002060"/>
          </w:tcPr>
          <w:p w14:paraId="257E87DD" w14:textId="77777777" w:rsidR="000F0E73" w:rsidRDefault="577BF0F5" w:rsidP="0014174E">
            <w:pPr>
              <w:jc w:val="center"/>
              <w:rPr>
                <w:iCs/>
              </w:rPr>
            </w:pPr>
            <w:r>
              <w:t>Variable</w:t>
            </w:r>
          </w:p>
        </w:tc>
        <w:tc>
          <w:tcPr>
            <w:tcW w:w="1887" w:type="dxa"/>
            <w:shd w:val="clear" w:color="auto" w:fill="002060"/>
          </w:tcPr>
          <w:p w14:paraId="022EF052" w14:textId="77777777" w:rsidR="000F0E73" w:rsidRDefault="577BF0F5" w:rsidP="0014174E">
            <w:pPr>
              <w:jc w:val="center"/>
              <w:rPr>
                <w:iCs/>
              </w:rPr>
            </w:pPr>
            <w:r>
              <w:t>Signo esperado</w:t>
            </w:r>
          </w:p>
        </w:tc>
      </w:tr>
      <w:tr w:rsidR="005E3931" w:rsidRPr="00850B99" w14:paraId="33D8F7CC" w14:textId="77777777" w:rsidTr="005E3931">
        <w:trPr>
          <w:trHeight w:val="306"/>
        </w:trPr>
        <w:tc>
          <w:tcPr>
            <w:tcW w:w="6941" w:type="dxa"/>
          </w:tcPr>
          <w:p w14:paraId="0092EE97" w14:textId="70CA706C" w:rsidR="005E3931" w:rsidRPr="005E3931" w:rsidRDefault="005E3931" w:rsidP="005E3931">
            <w:pPr>
              <w:rPr>
                <w:u w:val="single"/>
              </w:rPr>
            </w:pPr>
            <w:r>
              <w:rPr>
                <w:u w:val="single"/>
              </w:rPr>
              <w:t>Variables de estabilidad financiera</w:t>
            </w:r>
            <w:r w:rsidRPr="577BF0F5">
              <w:rPr>
                <w:u w:val="single"/>
              </w:rPr>
              <w:t>:</w:t>
            </w:r>
            <w:r>
              <w:rPr>
                <w:u w:val="single"/>
              </w:rPr>
              <w:t xml:space="preserve"> </w:t>
            </w:r>
          </w:p>
        </w:tc>
        <w:tc>
          <w:tcPr>
            <w:tcW w:w="1887" w:type="dxa"/>
            <w:vAlign w:val="center"/>
          </w:tcPr>
          <w:p w14:paraId="1FD7C623" w14:textId="5AA49C44" w:rsidR="005E3931" w:rsidRDefault="005E3931" w:rsidP="0046100F">
            <w:pPr>
              <w:jc w:val="center"/>
              <w:rPr>
                <w:lang w:val="es-CO"/>
              </w:rPr>
            </w:pPr>
            <w:r w:rsidRPr="577BF0F5">
              <w:rPr>
                <w:noProof/>
                <w:lang w:val="es-CO" w:eastAsia="es-CO"/>
              </w:rPr>
              <w:t xml:space="preserve">+ </w:t>
            </w:r>
            <w:r>
              <w:t>/ –</w:t>
            </w:r>
          </w:p>
        </w:tc>
      </w:tr>
      <w:tr w:rsidR="005E3931" w:rsidRPr="00850B99" w14:paraId="413E3889" w14:textId="77777777" w:rsidTr="0046100F">
        <w:tc>
          <w:tcPr>
            <w:tcW w:w="6941" w:type="dxa"/>
          </w:tcPr>
          <w:p w14:paraId="3C575C94" w14:textId="16448979" w:rsidR="005E3931" w:rsidRPr="005E3931" w:rsidRDefault="005E3931" w:rsidP="005E3931">
            <w:pPr>
              <w:pStyle w:val="Prrafodelista"/>
              <w:rPr>
                <w:u w:val="single"/>
              </w:rPr>
            </w:pPr>
            <w:r>
              <w:rPr>
                <w:u w:val="single"/>
              </w:rPr>
              <w:t>L</w:t>
            </w:r>
            <w:r w:rsidRPr="005E3931">
              <w:rPr>
                <w:u w:val="single"/>
              </w:rPr>
              <w:t xml:space="preserve">iquidez:  </w:t>
            </w:r>
            <w:r>
              <w:t>razonCorriente</w:t>
            </w:r>
          </w:p>
          <w:p w14:paraId="7E876A16" w14:textId="77777777" w:rsidR="005E3931" w:rsidRPr="000959BB" w:rsidRDefault="005E3931" w:rsidP="0046100F">
            <w:pPr>
              <w:jc w:val="center"/>
              <w:rPr>
                <w:u w:val="single"/>
              </w:rPr>
            </w:pPr>
          </w:p>
        </w:tc>
        <w:tc>
          <w:tcPr>
            <w:tcW w:w="1887" w:type="dxa"/>
            <w:vAlign w:val="center"/>
          </w:tcPr>
          <w:p w14:paraId="2BFDC368" w14:textId="77777777" w:rsidR="005E3931" w:rsidRDefault="005E3931" w:rsidP="0046100F">
            <w:pPr>
              <w:jc w:val="center"/>
              <w:rPr>
                <w:lang w:val="es-CO"/>
              </w:rPr>
            </w:pPr>
            <w:r>
              <w:t xml:space="preserve">– </w:t>
            </w:r>
          </w:p>
        </w:tc>
      </w:tr>
      <w:tr w:rsidR="005E3931" w:rsidRPr="00850B99" w14:paraId="54D1E397" w14:textId="77777777" w:rsidTr="0046100F">
        <w:tc>
          <w:tcPr>
            <w:tcW w:w="6941" w:type="dxa"/>
          </w:tcPr>
          <w:p w14:paraId="08046D1F" w14:textId="670331F3" w:rsidR="005E3931" w:rsidRPr="005E3931" w:rsidRDefault="005E3931" w:rsidP="005E3931">
            <w:pPr>
              <w:pStyle w:val="Prrafodelista"/>
              <w:rPr>
                <w:u w:val="single"/>
              </w:rPr>
            </w:pPr>
            <w:r w:rsidRPr="005E3931">
              <w:rPr>
                <w:u w:val="single"/>
              </w:rPr>
              <w:t xml:space="preserve">Desempeño financiero: </w:t>
            </w:r>
            <w:r>
              <w:t>dummyPerdidas</w:t>
            </w:r>
          </w:p>
          <w:p w14:paraId="66E02CAD" w14:textId="77777777" w:rsidR="005E3931" w:rsidRPr="005E3931" w:rsidRDefault="005E3931" w:rsidP="005E3931">
            <w:pPr>
              <w:rPr>
                <w:u w:val="single"/>
              </w:rPr>
            </w:pPr>
          </w:p>
        </w:tc>
        <w:tc>
          <w:tcPr>
            <w:tcW w:w="1887" w:type="dxa"/>
            <w:vAlign w:val="center"/>
          </w:tcPr>
          <w:p w14:paraId="411EC755" w14:textId="792E5A81" w:rsidR="005E3931" w:rsidRDefault="005E3931" w:rsidP="0046100F">
            <w:pPr>
              <w:jc w:val="center"/>
              <w:rPr>
                <w:lang w:val="es-CO"/>
              </w:rPr>
            </w:pPr>
            <w:r>
              <w:t>+</w:t>
            </w:r>
          </w:p>
        </w:tc>
      </w:tr>
      <w:tr w:rsidR="005E3931" w:rsidRPr="00850B99" w14:paraId="0B99AB5C" w14:textId="77777777" w:rsidTr="0046100F">
        <w:tc>
          <w:tcPr>
            <w:tcW w:w="6941" w:type="dxa"/>
          </w:tcPr>
          <w:p w14:paraId="7B51C895" w14:textId="77777777" w:rsidR="005E3931" w:rsidRDefault="005E3931" w:rsidP="005E3931">
            <w:r w:rsidRPr="577BF0F5">
              <w:rPr>
                <w:u w:val="single"/>
              </w:rPr>
              <w:t xml:space="preserve">Variables de </w:t>
            </w:r>
            <w:r>
              <w:rPr>
                <w:u w:val="single"/>
              </w:rPr>
              <w:t>desempeño del sector</w:t>
            </w:r>
            <w:r w:rsidRPr="577BF0F5">
              <w:rPr>
                <w:u w:val="single"/>
              </w:rPr>
              <w:t>:</w:t>
            </w:r>
            <w:r>
              <w:rPr>
                <w:u w:val="single"/>
              </w:rPr>
              <w:t xml:space="preserve"> </w:t>
            </w:r>
            <w:r>
              <w:t>dummypibsector1, crecimientoDecrecimiento, dummypibsector2, razonCorriente</w:t>
            </w:r>
          </w:p>
          <w:p w14:paraId="425E1F42" w14:textId="072BE635" w:rsidR="00B9790D" w:rsidRPr="005E3931" w:rsidRDefault="00B9790D" w:rsidP="005E3931">
            <w:pPr>
              <w:rPr>
                <w:u w:val="single"/>
              </w:rPr>
            </w:pPr>
          </w:p>
        </w:tc>
        <w:tc>
          <w:tcPr>
            <w:tcW w:w="1887" w:type="dxa"/>
            <w:vAlign w:val="center"/>
          </w:tcPr>
          <w:p w14:paraId="2FE1FC52" w14:textId="77777777" w:rsidR="005E3931" w:rsidRDefault="005E3931" w:rsidP="0046100F">
            <w:pPr>
              <w:jc w:val="center"/>
              <w:rPr>
                <w:lang w:val="es-CO"/>
              </w:rPr>
            </w:pPr>
            <w:r w:rsidRPr="577BF0F5">
              <w:rPr>
                <w:noProof/>
                <w:lang w:val="es-CO" w:eastAsia="es-CO"/>
              </w:rPr>
              <w:t xml:space="preserve">+ </w:t>
            </w:r>
            <w:r>
              <w:t xml:space="preserve">/ – </w:t>
            </w:r>
          </w:p>
        </w:tc>
      </w:tr>
      <w:tr w:rsidR="000B14DD" w:rsidRPr="00850B99" w14:paraId="4AB70A80" w14:textId="77777777" w:rsidTr="577BF0F5">
        <w:tc>
          <w:tcPr>
            <w:tcW w:w="6941" w:type="dxa"/>
          </w:tcPr>
          <w:p w14:paraId="12E03DBC" w14:textId="77777777" w:rsidR="00F95C56" w:rsidRDefault="577BF0F5" w:rsidP="005E3931">
            <w:r w:rsidRPr="577BF0F5">
              <w:rPr>
                <w:u w:val="single"/>
              </w:rPr>
              <w:t>Variables de tamaño:</w:t>
            </w:r>
            <w:r>
              <w:t xml:space="preserve"> PER, tamañoEmpresa_M</w:t>
            </w:r>
          </w:p>
          <w:p w14:paraId="17E2CE73" w14:textId="43B6C660" w:rsidR="000959BB" w:rsidRDefault="000959BB" w:rsidP="0014174E">
            <w:pPr>
              <w:jc w:val="center"/>
              <w:rPr>
                <w:iCs/>
              </w:rPr>
            </w:pPr>
          </w:p>
        </w:tc>
        <w:tc>
          <w:tcPr>
            <w:tcW w:w="1887" w:type="dxa"/>
            <w:vAlign w:val="center"/>
          </w:tcPr>
          <w:p w14:paraId="7316BF55" w14:textId="77777777" w:rsidR="00F95C56" w:rsidRDefault="577BF0F5" w:rsidP="0014174E">
            <w:pPr>
              <w:jc w:val="center"/>
              <w:rPr>
                <w:iCs/>
              </w:rPr>
            </w:pPr>
            <w:r>
              <w:t>+</w:t>
            </w:r>
          </w:p>
        </w:tc>
      </w:tr>
      <w:tr w:rsidR="000B14DD" w:rsidRPr="00850B99" w14:paraId="028C73A8" w14:textId="77777777" w:rsidTr="000959BB">
        <w:trPr>
          <w:trHeight w:val="571"/>
        </w:trPr>
        <w:tc>
          <w:tcPr>
            <w:tcW w:w="6941" w:type="dxa"/>
          </w:tcPr>
          <w:p w14:paraId="3FAD0374" w14:textId="77777777" w:rsidR="00F95C56" w:rsidRDefault="577BF0F5" w:rsidP="005E3931">
            <w:r w:rsidRPr="577BF0F5">
              <w:rPr>
                <w:u w:val="single"/>
              </w:rPr>
              <w:t>Variables macroeconómicas:</w:t>
            </w:r>
            <w:r>
              <w:t xml:space="preserve"> tasaImpuestos, tasaImpuestos5Años, deudaExterna_M, deudaInterna_M, pibSector_M</w:t>
            </w:r>
          </w:p>
          <w:p w14:paraId="6B1ABC9F" w14:textId="609DE9FD" w:rsidR="000959BB" w:rsidRDefault="000959BB" w:rsidP="0014174E">
            <w:pPr>
              <w:jc w:val="center"/>
              <w:rPr>
                <w:iCs/>
              </w:rPr>
            </w:pPr>
          </w:p>
        </w:tc>
        <w:tc>
          <w:tcPr>
            <w:tcW w:w="1887" w:type="dxa"/>
            <w:vAlign w:val="center"/>
          </w:tcPr>
          <w:p w14:paraId="7BC2FDB8" w14:textId="77777777" w:rsidR="00F95C56" w:rsidRDefault="577BF0F5" w:rsidP="0014174E">
            <w:pPr>
              <w:jc w:val="center"/>
              <w:rPr>
                <w:iCs/>
              </w:rPr>
            </w:pPr>
            <w:r w:rsidRPr="577BF0F5">
              <w:rPr>
                <w:noProof/>
                <w:lang w:val="es-CO" w:eastAsia="es-CO"/>
              </w:rPr>
              <w:lastRenderedPageBreak/>
              <w:t xml:space="preserve">+ </w:t>
            </w:r>
            <w:r>
              <w:t xml:space="preserve">/ – </w:t>
            </w:r>
          </w:p>
        </w:tc>
      </w:tr>
      <w:tr w:rsidR="00084970" w:rsidRPr="00850B99" w14:paraId="6E9C7204" w14:textId="77777777" w:rsidTr="577BF0F5">
        <w:tc>
          <w:tcPr>
            <w:tcW w:w="6941" w:type="dxa"/>
          </w:tcPr>
          <w:p w14:paraId="6B6A4EC8" w14:textId="77777777" w:rsidR="00F95C56" w:rsidRDefault="577BF0F5" w:rsidP="005E3931">
            <w:r w:rsidRPr="577BF0F5">
              <w:rPr>
                <w:u w:val="single"/>
              </w:rPr>
              <w:lastRenderedPageBreak/>
              <w:t xml:space="preserve">Variables de rentabilidad: </w:t>
            </w:r>
            <w:r>
              <w:t>rentabilidadActivos, roa2, lagroe.</w:t>
            </w:r>
          </w:p>
          <w:p w14:paraId="613DB897" w14:textId="4EE09E8C" w:rsidR="000959BB" w:rsidRDefault="000959BB" w:rsidP="0014174E">
            <w:pPr>
              <w:jc w:val="center"/>
              <w:rPr>
                <w:u w:val="single"/>
              </w:rPr>
            </w:pPr>
          </w:p>
        </w:tc>
        <w:tc>
          <w:tcPr>
            <w:tcW w:w="1887" w:type="dxa"/>
            <w:vAlign w:val="center"/>
          </w:tcPr>
          <w:p w14:paraId="17DF5A6B" w14:textId="77777777" w:rsidR="00F95C56" w:rsidRDefault="577BF0F5" w:rsidP="0014174E">
            <w:pPr>
              <w:jc w:val="center"/>
              <w:rPr>
                <w:iCs/>
              </w:rPr>
            </w:pPr>
            <w:r w:rsidRPr="577BF0F5">
              <w:rPr>
                <w:noProof/>
                <w:lang w:val="es-CO" w:eastAsia="es-CO"/>
              </w:rPr>
              <w:t xml:space="preserve">+ </w:t>
            </w:r>
            <w:r>
              <w:t xml:space="preserve">/ – </w:t>
            </w:r>
          </w:p>
        </w:tc>
      </w:tr>
    </w:tbl>
    <w:p w14:paraId="5E5C1AA0" w14:textId="77777777" w:rsidR="00F95C56" w:rsidRDefault="00F95C56" w:rsidP="0014174E">
      <w:pPr>
        <w:jc w:val="both"/>
      </w:pPr>
    </w:p>
    <w:p w14:paraId="3DE6356D" w14:textId="61143F3F" w:rsidR="00B9790D" w:rsidRDefault="577BF0F5" w:rsidP="00B9790D">
      <w:pPr>
        <w:ind w:firstLine="708"/>
        <w:jc w:val="both"/>
      </w:pPr>
      <w:r>
        <w:t>Como se puede observar, realmente no hay convergencia sobre el efecto de los distintos determinantes. Solamente con respec</w:t>
      </w:r>
      <w:r w:rsidR="00B9790D">
        <w:t xml:space="preserve">to a las variables de liquidez, las pérdidas, y </w:t>
      </w:r>
      <w:r>
        <w:t xml:space="preserve">el tamaño de la empresa hay suficiente consistencia en la literatura que permite confirmar los signos ya mostrados. </w:t>
      </w:r>
      <w:r w:rsidR="002E027E">
        <w:t>La</w:t>
      </w:r>
      <w:r w:rsidR="00B9790D">
        <w:t>s</w:t>
      </w:r>
      <w:r w:rsidR="002E027E">
        <w:t xml:space="preserve"> </w:t>
      </w:r>
      <w:r w:rsidR="003454A3">
        <w:t>hipó</w:t>
      </w:r>
      <w:r w:rsidR="004541CB">
        <w:t xml:space="preserve">tesis </w:t>
      </w:r>
      <w:r w:rsidR="004C57F1">
        <w:t>que</w:t>
      </w:r>
      <w:r w:rsidR="00B9790D">
        <w:t xml:space="preserve"> la relaci</w:t>
      </w:r>
      <w:r w:rsidR="004C57F1">
        <w:t xml:space="preserve">onan </w:t>
      </w:r>
      <w:r w:rsidR="00B9790D">
        <w:t xml:space="preserve">las variables mencionadas con el nivel de apalancamiento empresarial son: 1) La </w:t>
      </w:r>
      <w:r w:rsidR="002068F7">
        <w:t xml:space="preserve">relación negativa </w:t>
      </w:r>
      <w:r w:rsidR="008F3E62">
        <w:t xml:space="preserve">la </w:t>
      </w:r>
      <w:r w:rsidR="004541CB">
        <w:t xml:space="preserve">liquidez </w:t>
      </w:r>
      <w:r w:rsidR="00F57978">
        <w:t xml:space="preserve">se </w:t>
      </w:r>
      <w:r w:rsidR="00B9790D">
        <w:t>explica con la aversión al endeudamiento cuando existen mayores recursos de corto plazo para cubrir los compromisos financieros;</w:t>
      </w:r>
      <w:r w:rsidR="004C57F1">
        <w:t xml:space="preserve"> 2) La relación positiva con las pérdidas </w:t>
      </w:r>
      <w:r w:rsidR="003F18FD">
        <w:t>se asocia a la necesidad de acudir a un mayor nivel de deuda cuando hay insuficiencia de recursos para cubrir los compromisos de corto plazo;</w:t>
      </w:r>
      <w:r w:rsidR="004C57F1">
        <w:t xml:space="preserve"> </w:t>
      </w:r>
      <w:r w:rsidR="00B9790D">
        <w:t xml:space="preserve"> y 3) La relación positiva </w:t>
      </w:r>
      <w:r w:rsidR="004C57F1">
        <w:t>con</w:t>
      </w:r>
      <w:r w:rsidR="00B9790D">
        <w:t xml:space="preserve"> el tamaño de la empresa </w:t>
      </w:r>
      <w:r w:rsidR="00730CF2">
        <w:t>se explica con</w:t>
      </w:r>
      <w:r w:rsidR="00B9790D">
        <w:t xml:space="preserve"> el mayor colateral para </w:t>
      </w:r>
      <w:r w:rsidR="00730CF2">
        <w:t>acceder</w:t>
      </w:r>
      <w:r w:rsidR="00B9790D">
        <w:t xml:space="preserve"> a créditos.  </w:t>
      </w:r>
    </w:p>
    <w:p w14:paraId="41D0273A" w14:textId="439C6F17" w:rsidR="0014174E" w:rsidRDefault="00B9790D" w:rsidP="00B9790D">
      <w:pPr>
        <w:ind w:firstLine="708"/>
        <w:jc w:val="both"/>
        <w:rPr>
          <w:lang w:val="es-CO"/>
        </w:rPr>
      </w:pPr>
      <w:r>
        <w:rPr>
          <w:lang w:val="es-CO"/>
        </w:rPr>
        <w:t xml:space="preserve"> </w:t>
      </w:r>
    </w:p>
    <w:p w14:paraId="23616CD0" w14:textId="1BAA9A70" w:rsidR="00F95C56" w:rsidRDefault="577BF0F5" w:rsidP="0014174E">
      <w:pPr>
        <w:ind w:firstLine="708"/>
        <w:jc w:val="both"/>
      </w:pPr>
      <w:r>
        <w:t xml:space="preserve">El método econométrico utilizado es el de regresión por Efectos Aleatorios (EA) en un panel de datos. Se llega al método de estimación después de evaluar las propiedades en dos etapas. Primero, se </w:t>
      </w:r>
      <w:r w:rsidR="00822B86">
        <w:t>prueba</w:t>
      </w:r>
      <w:r>
        <w:t xml:space="preserve"> la consistencia de los estimadores de Mínimos Cuadrados Ordinarios (MCO), para ausencia de autocorrelación de residuos, a través de la prueba de Breusch-Pagan, la cual tiene como hipótesis la no evidencia de efectos constantes en el error (ocurre cuando no existe autocorrelación de residuos); con los datos sustentados anteriormente se concluye que se rechaza la hipótesis, y se recurre al uso del estimador de efectos aleatorios. Segundo, se identifica si el estimador de efectos aleatorios es el adecuado, dado que la existencia de endogeneidad puede conducir a que sea necesario el uso del estimador de efectos fijos (se presenta heterogeneidad no observada); para esto se utiliza la prueba de Hausman, que considera como hipótesis la no existencia de endogeneidad, por lo que al realizar la estimación se identifica que no existe diferencia sistemática entre los coeficientes del estimador de efectos aleatorios y el de efectos fijos, y, por tanto, es pertinente el uso del primero. </w:t>
      </w:r>
    </w:p>
    <w:p w14:paraId="697DBBAD" w14:textId="77777777" w:rsidR="0014174E" w:rsidRDefault="0014174E" w:rsidP="0014174E">
      <w:pPr>
        <w:ind w:firstLine="708"/>
        <w:jc w:val="both"/>
      </w:pPr>
    </w:p>
    <w:p w14:paraId="453B2157" w14:textId="77777777" w:rsidR="00F95C56" w:rsidRDefault="577BF0F5" w:rsidP="0014174E">
      <w:pPr>
        <w:ind w:firstLine="708"/>
        <w:jc w:val="both"/>
      </w:pPr>
      <w:r>
        <w:t xml:space="preserve">El estimador de efectos aleatorios recurre a una regresión por Mínimos Cuadrados Generalizados (MCG), el cual se obtiene [2]: </w:t>
      </w:r>
    </w:p>
    <w:p w14:paraId="087ADAC1" w14:textId="77777777" w:rsidR="00F95C56" w:rsidRDefault="00F95C56" w:rsidP="0014174E">
      <w:pPr>
        <w:ind w:firstLine="708"/>
        <w:jc w:val="both"/>
      </w:pPr>
    </w:p>
    <w:p w14:paraId="6C26D0EA" w14:textId="3CD97C7D" w:rsidR="00F95C56" w:rsidRDefault="00AC55AB" w:rsidP="0014174E">
      <w:pPr>
        <w:jc w:val="center"/>
      </w:pPr>
      <m:oMath>
        <m:sSub>
          <m:sSubPr>
            <m:ctrlPr>
              <w:rPr>
                <w:rFonts w:ascii="Cambria Math" w:hAnsi="Cambria Math"/>
                <w:i/>
              </w:rPr>
            </m:ctrlPr>
          </m:sSubPr>
          <m:e>
            <m:acc>
              <m:accPr>
                <m:ctrlPr>
                  <w:rPr>
                    <w:rFonts w:ascii="Cambria Math" w:hAnsi="Cambria Math"/>
                    <w:i/>
                  </w:rPr>
                </m:ctrlPr>
              </m:accPr>
              <m:e>
                <m:r>
                  <w:rPr>
                    <w:rFonts w:ascii="Cambria Math" w:hAnsi="Cambria Math"/>
                  </w:rPr>
                  <m:t>β</m:t>
                </m:r>
              </m:e>
            </m:acc>
          </m:e>
          <m:sub>
            <m:r>
              <w:rPr>
                <w:rFonts w:ascii="Cambria Math" w:hAnsi="Cambria Math"/>
              </w:rPr>
              <m:t>MCG</m:t>
            </m:r>
          </m:sub>
        </m:sSub>
        <m:r>
          <w:rPr>
            <w:rFonts w:ascii="Cambria Math" w:hAnsi="Cambria Math"/>
          </w:rPr>
          <m:t xml:space="preserve"> </m:t>
        </m:r>
        <m:sSup>
          <m:sSupPr>
            <m:ctrlPr>
              <w:rPr>
                <w:rFonts w:ascii="Cambria Math" w:hAnsi="Cambria Math"/>
                <w:i/>
              </w:rPr>
            </m:ctrlPr>
          </m:sSupPr>
          <m:e>
            <m:d>
              <m:dPr>
                <m:ctrlPr>
                  <w:rPr>
                    <w:rFonts w:ascii="Cambria Math" w:hAnsi="Cambria Math"/>
                    <w:i/>
                  </w:rPr>
                </m:ctrlPr>
              </m:dPr>
              <m:e>
                <m:sSup>
                  <m:sSupPr>
                    <m:ctrlPr>
                      <w:rPr>
                        <w:rFonts w:ascii="Cambria Math" w:hAnsi="Cambria Math"/>
                        <w:i/>
                      </w:rPr>
                    </m:ctrlPr>
                  </m:sSupPr>
                  <m:e>
                    <m:r>
                      <w:rPr>
                        <w:rFonts w:ascii="Cambria Math" w:hAnsi="Cambria Math"/>
                      </w:rPr>
                      <m:t>X</m:t>
                    </m:r>
                  </m:e>
                  <m:sup>
                    <m:r>
                      <w:rPr>
                        <w:rFonts w:ascii="Cambria Math" w:hAnsi="Cambria Math"/>
                      </w:rPr>
                      <m:t>t</m:t>
                    </m:r>
                  </m:sup>
                </m:sSup>
                <m:sSup>
                  <m:sSupPr>
                    <m:ctrlPr>
                      <w:rPr>
                        <w:rFonts w:ascii="Cambria Math" w:hAnsi="Cambria Math"/>
                        <w:i/>
                      </w:rPr>
                    </m:ctrlPr>
                  </m:sSupPr>
                  <m:e>
                    <m:r>
                      <m:rPr>
                        <m:sty m:val="p"/>
                      </m:rPr>
                      <w:rPr>
                        <w:rFonts w:ascii="Cambria Math" w:hAnsi="Cambria Math"/>
                      </w:rPr>
                      <m:t>Ω</m:t>
                    </m:r>
                  </m:e>
                  <m:sup>
                    <m:r>
                      <w:rPr>
                        <w:rFonts w:ascii="Cambria Math" w:hAnsi="Cambria Math"/>
                      </w:rPr>
                      <m:t>-1</m:t>
                    </m:r>
                  </m:sup>
                </m:sSup>
                <m:r>
                  <w:rPr>
                    <w:rFonts w:ascii="Cambria Math" w:hAnsi="Cambria Math"/>
                  </w:rPr>
                  <m:t>X</m:t>
                </m:r>
              </m:e>
            </m:d>
          </m:e>
          <m:sup>
            <m:r>
              <w:rPr>
                <w:rFonts w:ascii="Cambria Math" w:hAnsi="Cambria Math"/>
              </w:rPr>
              <m:t>-1</m:t>
            </m:r>
          </m:sup>
        </m:sSup>
        <m:sSup>
          <m:sSupPr>
            <m:ctrlPr>
              <w:rPr>
                <w:rFonts w:ascii="Cambria Math" w:hAnsi="Cambria Math"/>
                <w:i/>
              </w:rPr>
            </m:ctrlPr>
          </m:sSupPr>
          <m:e>
            <m:r>
              <w:rPr>
                <w:rFonts w:ascii="Cambria Math" w:hAnsi="Cambria Math"/>
              </w:rPr>
              <m:t>X</m:t>
            </m:r>
          </m:e>
          <m:sup>
            <m:r>
              <w:rPr>
                <w:rFonts w:ascii="Cambria Math" w:hAnsi="Cambria Math"/>
              </w:rPr>
              <m:t>t</m:t>
            </m:r>
          </m:sup>
        </m:sSup>
        <m:sSup>
          <m:sSupPr>
            <m:ctrlPr>
              <w:rPr>
                <w:rFonts w:ascii="Cambria Math" w:hAnsi="Cambria Math"/>
                <w:i/>
              </w:rPr>
            </m:ctrlPr>
          </m:sSupPr>
          <m:e>
            <m:r>
              <m:rPr>
                <m:sty m:val="p"/>
              </m:rPr>
              <w:rPr>
                <w:rFonts w:ascii="Cambria Math" w:hAnsi="Cambria Math"/>
              </w:rPr>
              <m:t>Ω</m:t>
            </m:r>
          </m:e>
          <m:sup>
            <m:r>
              <w:rPr>
                <w:rFonts w:ascii="Cambria Math" w:hAnsi="Cambria Math"/>
              </w:rPr>
              <m:t>-1</m:t>
            </m:r>
          </m:sup>
        </m:sSup>
        <m:r>
          <w:rPr>
            <w:rFonts w:ascii="Cambria Math" w:hAnsi="Cambria Math"/>
          </w:rPr>
          <m:t>Y</m:t>
        </m:r>
      </m:oMath>
      <w:r w:rsidR="00CB69BE">
        <w:t xml:space="preserve"> </w:t>
      </w:r>
      <w:r w:rsidR="00CB69BE">
        <w:tab/>
      </w:r>
      <w:r w:rsidR="00CB69BE">
        <w:tab/>
      </w:r>
      <w:r w:rsidR="00CB69BE">
        <w:tab/>
      </w:r>
      <w:r w:rsidR="00CB69BE">
        <w:tab/>
      </w:r>
      <w:r w:rsidR="00CB69BE">
        <w:tab/>
      </w:r>
      <w:r w:rsidR="00CB69BE">
        <w:tab/>
      </w:r>
      <w:r w:rsidR="00CB69BE">
        <w:tab/>
        <w:t>[2]</w:t>
      </w:r>
    </w:p>
    <w:p w14:paraId="282980B1" w14:textId="77777777" w:rsidR="00F95C56" w:rsidRDefault="000C4152" w:rsidP="0014174E">
      <w:pPr>
        <w:ind w:firstLine="708"/>
        <w:jc w:val="both"/>
      </w:pPr>
      <w:r>
        <w:t xml:space="preserve">   </w:t>
      </w:r>
      <w:r w:rsidR="002C1A52">
        <w:tab/>
        <w:t xml:space="preserve"> </w:t>
      </w:r>
      <w:r w:rsidR="00FD6C62">
        <w:t xml:space="preserve">  </w:t>
      </w:r>
      <w:r w:rsidR="00D37C2D">
        <w:t xml:space="preserve">    </w:t>
      </w:r>
    </w:p>
    <w:p w14:paraId="5B3ADE7D" w14:textId="77777777" w:rsidR="00F95C56" w:rsidRDefault="577BF0F5" w:rsidP="0014174E">
      <w:pPr>
        <w:ind w:firstLine="708"/>
        <w:jc w:val="both"/>
      </w:pPr>
      <w:r>
        <w:t>Con:</w:t>
      </w:r>
    </w:p>
    <w:p w14:paraId="7C765997" w14:textId="77777777" w:rsidR="00F95C56" w:rsidRDefault="00AC55AB" w:rsidP="0014174E">
      <w:pPr>
        <w:ind w:firstLine="708"/>
        <w:jc w:val="both"/>
      </w:pPr>
      <m:oMath>
        <m:sSup>
          <m:sSupPr>
            <m:ctrlPr>
              <w:rPr>
                <w:rFonts w:ascii="Cambria Math" w:hAnsi="Cambria Math"/>
                <w:i/>
              </w:rPr>
            </m:ctrlPr>
          </m:sSupPr>
          <m:e>
            <m:r>
              <m:rPr>
                <m:sty m:val="p"/>
              </m:rPr>
              <w:rPr>
                <w:rFonts w:ascii="Cambria Math" w:hAnsi="Cambria Math"/>
              </w:rPr>
              <m:t>Ω</m:t>
            </m:r>
          </m:e>
          <m:sup>
            <m:r>
              <w:rPr>
                <w:rFonts w:ascii="Cambria Math" w:hAnsi="Cambria Math"/>
              </w:rPr>
              <m:t>-1</m:t>
            </m:r>
          </m:sup>
        </m:sSup>
        <m:r>
          <w:rPr>
            <w:rFonts w:ascii="Cambria Math" w:hAnsi="Cambria Math"/>
          </w:rPr>
          <m:t>=</m:t>
        </m:r>
        <m:d>
          <m:dPr>
            <m:begChr m:val="["/>
            <m:endChr m:val="]"/>
            <m:ctrlPr>
              <w:rPr>
                <w:rFonts w:ascii="Cambria Math" w:hAnsi="Cambria Math"/>
                <w:i/>
              </w:rPr>
            </m:ctrlPr>
          </m:dPr>
          <m:e>
            <m:m>
              <m:mPr>
                <m:mcs>
                  <m:mc>
                    <m:mcPr>
                      <m:count m:val="3"/>
                      <m:mcJc m:val="center"/>
                    </m:mcPr>
                  </m:mc>
                </m:mcs>
                <m:ctrlPr>
                  <w:rPr>
                    <w:rFonts w:ascii="Cambria Math" w:hAnsi="Cambria Math"/>
                    <w:i/>
                  </w:rPr>
                </m:ctrlPr>
              </m:mPr>
              <m:mr>
                <m:e>
                  <m:r>
                    <w:rPr>
                      <w:rFonts w:ascii="Cambria Math" w:hAnsi="Cambria Math"/>
                    </w:rPr>
                    <m:t>ξ</m:t>
                  </m:r>
                </m:e>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ξ</m:t>
                  </m:r>
                </m:e>
                <m:e>
                  <m:r>
                    <w:rPr>
                      <w:rFonts w:ascii="Cambria Math" w:hAnsi="Cambria Math"/>
                    </w:rPr>
                    <m:t>0</m:t>
                  </m:r>
                </m:e>
              </m:mr>
              <m:mr>
                <m:e>
                  <m:r>
                    <w:rPr>
                      <w:rFonts w:ascii="Cambria Math" w:hAnsi="Cambria Math"/>
                    </w:rPr>
                    <m:t>0</m:t>
                  </m:r>
                </m:e>
                <m:e>
                  <m:r>
                    <w:rPr>
                      <w:rFonts w:ascii="Cambria Math" w:hAnsi="Cambria Math"/>
                    </w:rPr>
                    <m:t>0</m:t>
                  </m:r>
                </m:e>
                <m:e>
                  <m:r>
                    <w:rPr>
                      <w:rFonts w:ascii="Cambria Math" w:hAnsi="Cambria Math"/>
                    </w:rPr>
                    <m:t>ξ</m:t>
                  </m:r>
                </m:e>
              </m:mr>
            </m:m>
          </m:e>
        </m:d>
      </m:oMath>
      <w:r w:rsidR="00CB69BE">
        <w:t xml:space="preserve">   </w:t>
      </w:r>
      <m:oMath>
        <m:r>
          <w:rPr>
            <w:rFonts w:ascii="Cambria Math" w:hAnsi="Cambria Math"/>
          </w:rPr>
          <m:t>ξ=</m:t>
        </m:r>
        <m:d>
          <m:dPr>
            <m:begChr m:val="["/>
            <m:endChr m:val="]"/>
            <m:ctrlPr>
              <w:rPr>
                <w:rFonts w:ascii="Cambria Math" w:hAnsi="Cambria Math"/>
                <w:i/>
              </w:rPr>
            </m:ctrlPr>
          </m:dPr>
          <m:e>
            <m:m>
              <m:mPr>
                <m:mcs>
                  <m:mc>
                    <m:mcPr>
                      <m:count m:val="3"/>
                      <m:mcJc m:val="center"/>
                    </m:mcPr>
                  </m:mc>
                </m:mcs>
                <m:ctrlPr>
                  <w:rPr>
                    <w:rFonts w:ascii="Cambria Math" w:hAnsi="Cambria Math"/>
                    <w:i/>
                  </w:rPr>
                </m:ctrlPr>
              </m:mPr>
              <m:mr>
                <m:e>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e>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e>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mr>
              <m:mr>
                <m:e>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e>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e>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mr>
              <m:mr>
                <m:e>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e>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e>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e>
              </m:mr>
            </m:m>
          </m:e>
        </m:d>
      </m:oMath>
      <w:r w:rsidR="00084970">
        <w:tab/>
      </w:r>
      <w:r w:rsidR="00084970">
        <w:tab/>
      </w:r>
      <w:r w:rsidR="00084970">
        <w:tab/>
        <w:t xml:space="preserve">       [3]</w:t>
      </w:r>
    </w:p>
    <w:p w14:paraId="6358038B" w14:textId="77777777" w:rsidR="00F95C56" w:rsidRDefault="00F95C56" w:rsidP="0014174E">
      <w:pPr>
        <w:ind w:firstLine="708"/>
        <w:jc w:val="both"/>
      </w:pPr>
    </w:p>
    <w:p w14:paraId="428CD7EB" w14:textId="77777777" w:rsidR="00F95C56" w:rsidRDefault="00596FC5" w:rsidP="0014174E">
      <w:pPr>
        <w:ind w:firstLine="708"/>
        <w:jc w:val="both"/>
      </w:pPr>
      <w:r>
        <w:t>Donde</w:t>
      </w:r>
      <w:r w:rsidR="00084970">
        <w:t>, en [3]</w:t>
      </w:r>
      <w:r>
        <w:t xml:space="preserve"> </w:t>
      </w:r>
      <m:oMath>
        <m:r>
          <w:rPr>
            <w:rFonts w:ascii="Cambria Math" w:hAnsi="Cambria Math"/>
          </w:rPr>
          <m:t>ξ</m:t>
        </m:r>
      </m:oMath>
      <w:r>
        <w:t xml:space="preserve"> es la matriz varianza-covarianza de los estimadores, y está compuesta por el error variante entre trimestres (</w:t>
      </w:r>
      <m:oMath>
        <m:sSubSup>
          <m:sSubSupPr>
            <m:ctrlPr>
              <w:rPr>
                <w:rFonts w:ascii="Cambria Math" w:hAnsi="Cambria Math"/>
                <w:i/>
              </w:rPr>
            </m:ctrlPr>
          </m:sSubSupPr>
          <m:e>
            <m:r>
              <w:rPr>
                <w:rFonts w:ascii="Cambria Math" w:hAnsi="Cambria Math"/>
              </w:rPr>
              <m:t>σ</m:t>
            </m:r>
          </m:e>
          <m:sub>
            <m:r>
              <w:rPr>
                <w:rFonts w:ascii="Cambria Math" w:hAnsi="Cambria Math"/>
              </w:rPr>
              <m:t>c</m:t>
            </m:r>
          </m:sub>
          <m:sup>
            <m:r>
              <w:rPr>
                <w:rFonts w:ascii="Cambria Math" w:hAnsi="Cambria Math"/>
              </w:rPr>
              <m:t>2</m:t>
            </m:r>
          </m:sup>
        </m:sSubSup>
      </m:oMath>
      <w:r>
        <w:t>) y entre empresas (</w:t>
      </w:r>
      <m:oMath>
        <m:sSubSup>
          <m:sSubSupPr>
            <m:ctrlPr>
              <w:rPr>
                <w:rFonts w:ascii="Cambria Math" w:hAnsi="Cambria Math"/>
                <w:i/>
              </w:rPr>
            </m:ctrlPr>
          </m:sSubSupPr>
          <m:e>
            <m:r>
              <w:rPr>
                <w:rFonts w:ascii="Cambria Math" w:hAnsi="Cambria Math"/>
              </w:rPr>
              <m:t>σ</m:t>
            </m:r>
          </m:e>
          <m:sub>
            <m:r>
              <w:rPr>
                <w:rFonts w:ascii="Cambria Math" w:hAnsi="Cambria Math"/>
              </w:rPr>
              <m:t>ε</m:t>
            </m:r>
          </m:sub>
          <m:sup>
            <m:r>
              <w:rPr>
                <w:rFonts w:ascii="Cambria Math" w:hAnsi="Cambria Math"/>
              </w:rPr>
              <m:t>2</m:t>
            </m:r>
          </m:sup>
        </m:sSubSup>
      </m:oMath>
      <w:r>
        <w:t xml:space="preserve">).    </w:t>
      </w:r>
    </w:p>
    <w:p w14:paraId="304425D8" w14:textId="77777777" w:rsidR="00F95C56" w:rsidRDefault="00F95C56" w:rsidP="0014174E">
      <w:pPr>
        <w:jc w:val="both"/>
        <w:rPr>
          <w:b/>
        </w:rPr>
      </w:pPr>
    </w:p>
    <w:p w14:paraId="416C9048" w14:textId="25E755AC" w:rsidR="00F95C56" w:rsidRDefault="003610BC" w:rsidP="0014174E">
      <w:pPr>
        <w:pStyle w:val="Prrafodelista"/>
        <w:numPr>
          <w:ilvl w:val="0"/>
          <w:numId w:val="10"/>
        </w:numPr>
        <w:jc w:val="center"/>
        <w:rPr>
          <w:b/>
          <w:bCs/>
        </w:rPr>
      </w:pPr>
      <w:r w:rsidRPr="577BF0F5">
        <w:rPr>
          <w:b/>
          <w:bCs/>
        </w:rPr>
        <w:t>RESULTADOS</w:t>
      </w:r>
    </w:p>
    <w:p w14:paraId="7CE7F890" w14:textId="77777777" w:rsidR="00F95C56" w:rsidRDefault="00F95C56" w:rsidP="0014174E">
      <w:pPr>
        <w:ind w:firstLine="708"/>
        <w:jc w:val="both"/>
      </w:pPr>
    </w:p>
    <w:p w14:paraId="710616D6" w14:textId="7BC47CE1" w:rsidR="004807B0" w:rsidRPr="004807B0" w:rsidRDefault="577BF0F5" w:rsidP="004807B0">
      <w:pPr>
        <w:ind w:firstLine="708"/>
        <w:jc w:val="both"/>
        <w:rPr>
          <w:rStyle w:val="Textoennegrita"/>
          <w:b w:val="0"/>
          <w:color w:val="222222"/>
          <w:shd w:val="clear" w:color="auto" w:fill="FFFFFF"/>
        </w:rPr>
      </w:pPr>
      <w:r>
        <w:lastRenderedPageBreak/>
        <w:t xml:space="preserve">De la Tabla 2 se puede observar que en total hay 5582 observaciones de 167 empresas. El promedio de apalancamiento de todas las empresas es 25,4 %, </w:t>
      </w:r>
      <w:r w:rsidR="003610BC">
        <w:t xml:space="preserve">siendo un resultado similar a obtenidos en varios </w:t>
      </w:r>
      <w:r>
        <w:t xml:space="preserve">trabajos, </w:t>
      </w:r>
      <w:r w:rsidR="0002331B">
        <w:t>incluso al nivel que tenían las empresas analizadas por Rajan y Zingales</w:t>
      </w:r>
      <w:r w:rsidR="0002331B" w:rsidRPr="00FF01F0">
        <w:rPr>
          <w:rStyle w:val="Textoennegrita"/>
          <w:b w:val="0"/>
          <w:color w:val="222222"/>
          <w:shd w:val="clear" w:color="auto" w:fill="FFFFFF"/>
        </w:rPr>
        <w:t xml:space="preserve"> (1995) en países desarrollados</w:t>
      </w:r>
      <w:r w:rsidR="006F0A71">
        <w:rPr>
          <w:rStyle w:val="Textoennegrita"/>
          <w:b w:val="0"/>
          <w:color w:val="222222"/>
          <w:shd w:val="clear" w:color="auto" w:fill="FFFFFF"/>
        </w:rPr>
        <w:t xml:space="preserve">, </w:t>
      </w:r>
      <w:r w:rsidR="00C91DC0">
        <w:rPr>
          <w:rStyle w:val="Textoennegrita"/>
          <w:b w:val="0"/>
          <w:color w:val="222222"/>
          <w:shd w:val="clear" w:color="auto" w:fill="FFFFFF"/>
        </w:rPr>
        <w:t xml:space="preserve">lo cual permite inferir un patrón </w:t>
      </w:r>
      <w:r w:rsidR="007A58F9">
        <w:rPr>
          <w:rStyle w:val="Textoennegrita"/>
          <w:b w:val="0"/>
          <w:color w:val="222222"/>
          <w:shd w:val="clear" w:color="auto" w:fill="FFFFFF"/>
        </w:rPr>
        <w:t>de comportamiento de la</w:t>
      </w:r>
      <w:r w:rsidR="00A57A23">
        <w:rPr>
          <w:rStyle w:val="Textoennegrita"/>
          <w:b w:val="0"/>
          <w:color w:val="222222"/>
          <w:shd w:val="clear" w:color="auto" w:fill="FFFFFF"/>
        </w:rPr>
        <w:t>s</w:t>
      </w:r>
      <w:r w:rsidR="007A58F9">
        <w:rPr>
          <w:rStyle w:val="Textoennegrita"/>
          <w:b w:val="0"/>
          <w:color w:val="222222"/>
          <w:shd w:val="clear" w:color="auto" w:fill="FFFFFF"/>
        </w:rPr>
        <w:t xml:space="preserve"> organizaciones </w:t>
      </w:r>
      <w:r w:rsidR="00A57A23">
        <w:rPr>
          <w:rStyle w:val="Textoennegrita"/>
          <w:b w:val="0"/>
          <w:color w:val="222222"/>
          <w:shd w:val="clear" w:color="auto" w:fill="FFFFFF"/>
        </w:rPr>
        <w:t>para definir su estructura de capital</w:t>
      </w:r>
      <w:r w:rsidR="004807B0">
        <w:rPr>
          <w:rStyle w:val="Textoennegrita"/>
          <w:b w:val="0"/>
          <w:color w:val="222222"/>
          <w:shd w:val="clear" w:color="auto" w:fill="FFFFFF"/>
        </w:rPr>
        <w:t>.</w:t>
      </w:r>
      <w:r w:rsidR="00DF6170">
        <w:rPr>
          <w:rStyle w:val="Textoennegrita"/>
          <w:b w:val="0"/>
          <w:color w:val="222222"/>
          <w:shd w:val="clear" w:color="auto" w:fill="FFFFFF"/>
        </w:rPr>
        <w:t xml:space="preserve"> Por tanto, por cada </w:t>
      </w:r>
      <w:r w:rsidR="00455EDD">
        <w:rPr>
          <w:rStyle w:val="Textoennegrita"/>
          <w:b w:val="0"/>
          <w:color w:val="222222"/>
          <w:shd w:val="clear" w:color="auto" w:fill="FFFFFF"/>
        </w:rPr>
        <w:t xml:space="preserve">cuatro dólares de inversión </w:t>
      </w:r>
      <w:r w:rsidR="003147F5">
        <w:rPr>
          <w:rStyle w:val="Textoennegrita"/>
          <w:b w:val="0"/>
          <w:color w:val="222222"/>
          <w:shd w:val="clear" w:color="auto" w:fill="FFFFFF"/>
        </w:rPr>
        <w:t>un dólar es financiado con</w:t>
      </w:r>
      <w:r w:rsidR="00DF6170">
        <w:rPr>
          <w:rStyle w:val="Textoennegrita"/>
          <w:b w:val="0"/>
          <w:color w:val="222222"/>
          <w:shd w:val="clear" w:color="auto" w:fill="FFFFFF"/>
        </w:rPr>
        <w:t xml:space="preserve"> </w:t>
      </w:r>
      <w:r w:rsidR="00455EDD">
        <w:rPr>
          <w:rStyle w:val="Textoennegrita"/>
          <w:b w:val="0"/>
          <w:color w:val="222222"/>
          <w:shd w:val="clear" w:color="auto" w:fill="FFFFFF"/>
        </w:rPr>
        <w:t>deuda</w:t>
      </w:r>
      <w:r w:rsidR="00AD77C1">
        <w:rPr>
          <w:rStyle w:val="Textoennegrita"/>
          <w:b w:val="0"/>
          <w:color w:val="222222"/>
          <w:shd w:val="clear" w:color="auto" w:fill="FFFFFF"/>
        </w:rPr>
        <w:t xml:space="preserve"> y los demás con aportes de socios, emisión de acciones o </w:t>
      </w:r>
      <w:r w:rsidR="002809DC">
        <w:rPr>
          <w:rStyle w:val="Textoennegrita"/>
          <w:b w:val="0"/>
          <w:color w:val="222222"/>
          <w:shd w:val="clear" w:color="auto" w:fill="FFFFFF"/>
        </w:rPr>
        <w:t>con ganancias retenidas</w:t>
      </w:r>
      <w:r w:rsidR="003147F5">
        <w:rPr>
          <w:rStyle w:val="Textoennegrita"/>
          <w:b w:val="0"/>
          <w:color w:val="222222"/>
          <w:shd w:val="clear" w:color="auto" w:fill="FFFFFF"/>
        </w:rPr>
        <w:t xml:space="preserve">. </w:t>
      </w:r>
      <w:r w:rsidR="00455EDD">
        <w:rPr>
          <w:rStyle w:val="Textoennegrita"/>
          <w:b w:val="0"/>
          <w:color w:val="222222"/>
          <w:shd w:val="clear" w:color="auto" w:fill="FFFFFF"/>
        </w:rPr>
        <w:t xml:space="preserve"> </w:t>
      </w:r>
    </w:p>
    <w:p w14:paraId="3DE70608" w14:textId="77777777" w:rsidR="00E27299" w:rsidRPr="001F0E2A" w:rsidRDefault="00E27299" w:rsidP="00E27299">
      <w:pPr>
        <w:ind w:firstLine="708"/>
        <w:jc w:val="both"/>
      </w:pPr>
    </w:p>
    <w:p w14:paraId="55B333D2" w14:textId="77777777" w:rsidR="00F95C56" w:rsidRDefault="577BF0F5" w:rsidP="007A272B">
      <w:pPr>
        <w:jc w:val="center"/>
        <w:outlineLvl w:val="0"/>
        <w:rPr>
          <w:rFonts w:ascii="Arial" w:eastAsia="Arial" w:hAnsi="Arial" w:cs="Arial"/>
          <w:b/>
          <w:bCs/>
          <w:sz w:val="28"/>
          <w:szCs w:val="28"/>
        </w:rPr>
      </w:pPr>
      <w:r w:rsidRPr="577BF0F5">
        <w:rPr>
          <w:b/>
          <w:bCs/>
          <w:lang w:val="es-CO"/>
        </w:rPr>
        <w:t>Tabla 5. Regresión con Efectos Aleatorios (EA)</w:t>
      </w:r>
    </w:p>
    <w:tbl>
      <w:tblPr>
        <w:tblW w:w="9723" w:type="dxa"/>
        <w:jc w:val="center"/>
        <w:tblLayout w:type="fixed"/>
        <w:tblCellMar>
          <w:left w:w="75" w:type="dxa"/>
          <w:right w:w="75" w:type="dxa"/>
        </w:tblCellMar>
        <w:tblLook w:val="0000" w:firstRow="0" w:lastRow="0" w:firstColumn="0" w:lastColumn="0" w:noHBand="0" w:noVBand="0"/>
      </w:tblPr>
      <w:tblGrid>
        <w:gridCol w:w="3675"/>
        <w:gridCol w:w="1584"/>
        <w:gridCol w:w="1440"/>
        <w:gridCol w:w="1584"/>
        <w:gridCol w:w="1440"/>
      </w:tblGrid>
      <w:tr w:rsidR="005E2B72" w:rsidRPr="008A467D" w14:paraId="0DB0E2EE" w14:textId="77777777" w:rsidTr="577BF0F5">
        <w:trPr>
          <w:jc w:val="center"/>
        </w:trPr>
        <w:tc>
          <w:tcPr>
            <w:tcW w:w="3675" w:type="dxa"/>
            <w:tcBorders>
              <w:top w:val="single" w:sz="6" w:space="0" w:color="auto"/>
              <w:left w:val="nil"/>
              <w:bottom w:val="nil"/>
              <w:right w:val="nil"/>
            </w:tcBorders>
          </w:tcPr>
          <w:p w14:paraId="56D7D66E" w14:textId="77777777" w:rsidR="00F95C56" w:rsidRPr="008A467D" w:rsidRDefault="00F95C56" w:rsidP="0014174E">
            <w:pPr>
              <w:widowControl w:val="0"/>
              <w:autoSpaceDE w:val="0"/>
              <w:autoSpaceDN w:val="0"/>
              <w:adjustRightInd w:val="0"/>
              <w:rPr>
                <w:sz w:val="22"/>
                <w:szCs w:val="22"/>
              </w:rPr>
            </w:pPr>
          </w:p>
        </w:tc>
        <w:tc>
          <w:tcPr>
            <w:tcW w:w="1584" w:type="dxa"/>
            <w:tcBorders>
              <w:top w:val="single" w:sz="6" w:space="0" w:color="auto"/>
              <w:left w:val="nil"/>
              <w:bottom w:val="nil"/>
              <w:right w:val="nil"/>
            </w:tcBorders>
          </w:tcPr>
          <w:p w14:paraId="314A1D51"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(General)</w:t>
            </w:r>
          </w:p>
        </w:tc>
        <w:tc>
          <w:tcPr>
            <w:tcW w:w="1440" w:type="dxa"/>
            <w:tcBorders>
              <w:top w:val="single" w:sz="6" w:space="0" w:color="auto"/>
              <w:left w:val="nil"/>
              <w:bottom w:val="nil"/>
              <w:right w:val="nil"/>
            </w:tcBorders>
          </w:tcPr>
          <w:p w14:paraId="035380B9" w14:textId="0518223C" w:rsidR="00F95C56" w:rsidRPr="008A467D" w:rsidRDefault="00F9057A" w:rsidP="00F9057A">
            <w:pPr>
              <w:widowControl w:val="0"/>
              <w:autoSpaceDE w:val="0"/>
              <w:autoSpaceDN w:val="0"/>
              <w:adjustRightInd w:val="0"/>
              <w:jc w:val="center"/>
              <w:rPr>
                <w:sz w:val="22"/>
                <w:szCs w:val="22"/>
              </w:rPr>
            </w:pPr>
            <w:r>
              <w:rPr>
                <w:sz w:val="22"/>
                <w:szCs w:val="22"/>
              </w:rPr>
              <w:t>(Empresa y sector</w:t>
            </w:r>
            <w:r w:rsidR="577BF0F5" w:rsidRPr="008A467D">
              <w:rPr>
                <w:sz w:val="22"/>
                <w:szCs w:val="22"/>
              </w:rPr>
              <w:t>)</w:t>
            </w:r>
          </w:p>
        </w:tc>
        <w:tc>
          <w:tcPr>
            <w:tcW w:w="1584" w:type="dxa"/>
            <w:tcBorders>
              <w:top w:val="single" w:sz="6" w:space="0" w:color="auto"/>
              <w:left w:val="nil"/>
              <w:bottom w:val="nil"/>
              <w:right w:val="nil"/>
            </w:tcBorders>
          </w:tcPr>
          <w:p w14:paraId="357DF9F2" w14:textId="56B34BFA" w:rsidR="00F95C56" w:rsidRPr="008A467D" w:rsidRDefault="008A467D" w:rsidP="00F9057A">
            <w:pPr>
              <w:widowControl w:val="0"/>
              <w:autoSpaceDE w:val="0"/>
              <w:autoSpaceDN w:val="0"/>
              <w:adjustRightInd w:val="0"/>
              <w:jc w:val="center"/>
              <w:rPr>
                <w:sz w:val="22"/>
                <w:szCs w:val="22"/>
              </w:rPr>
            </w:pPr>
            <w:r>
              <w:rPr>
                <w:sz w:val="22"/>
                <w:szCs w:val="22"/>
              </w:rPr>
              <w:t>(E</w:t>
            </w:r>
            <w:r w:rsidR="00F9057A">
              <w:rPr>
                <w:sz w:val="22"/>
                <w:szCs w:val="22"/>
              </w:rPr>
              <w:t>stabilidad financiera</w:t>
            </w:r>
            <w:r w:rsidR="577BF0F5" w:rsidRPr="008A467D">
              <w:rPr>
                <w:sz w:val="22"/>
                <w:szCs w:val="22"/>
              </w:rPr>
              <w:t>)</w:t>
            </w:r>
          </w:p>
        </w:tc>
        <w:tc>
          <w:tcPr>
            <w:tcW w:w="1440" w:type="dxa"/>
            <w:tcBorders>
              <w:top w:val="single" w:sz="6" w:space="0" w:color="auto"/>
              <w:left w:val="nil"/>
              <w:bottom w:val="nil"/>
              <w:right w:val="nil"/>
            </w:tcBorders>
          </w:tcPr>
          <w:p w14:paraId="3CEA905C" w14:textId="0E6BAEF9" w:rsidR="00F95C56" w:rsidRPr="008A467D" w:rsidRDefault="008A467D" w:rsidP="0014174E">
            <w:pPr>
              <w:widowControl w:val="0"/>
              <w:autoSpaceDE w:val="0"/>
              <w:autoSpaceDN w:val="0"/>
              <w:adjustRightInd w:val="0"/>
              <w:jc w:val="center"/>
              <w:rPr>
                <w:sz w:val="22"/>
                <w:szCs w:val="22"/>
              </w:rPr>
            </w:pPr>
            <w:r>
              <w:rPr>
                <w:sz w:val="22"/>
                <w:szCs w:val="22"/>
              </w:rPr>
              <w:t>(Sector y macro</w:t>
            </w:r>
            <w:r w:rsidR="577BF0F5" w:rsidRPr="008A467D">
              <w:rPr>
                <w:sz w:val="22"/>
                <w:szCs w:val="22"/>
              </w:rPr>
              <w:t>)</w:t>
            </w:r>
          </w:p>
        </w:tc>
      </w:tr>
      <w:tr w:rsidR="005E2B72" w:rsidRPr="008A467D" w14:paraId="3DE4981E" w14:textId="77777777" w:rsidTr="577BF0F5">
        <w:trPr>
          <w:jc w:val="center"/>
        </w:trPr>
        <w:tc>
          <w:tcPr>
            <w:tcW w:w="3675" w:type="dxa"/>
            <w:tcBorders>
              <w:top w:val="nil"/>
              <w:left w:val="nil"/>
              <w:bottom w:val="single" w:sz="6" w:space="0" w:color="auto"/>
              <w:right w:val="nil"/>
            </w:tcBorders>
          </w:tcPr>
          <w:p w14:paraId="55FE7F34" w14:textId="77777777" w:rsidR="00F95C56" w:rsidRPr="008A467D" w:rsidRDefault="577BF0F5" w:rsidP="0014174E">
            <w:pPr>
              <w:widowControl w:val="0"/>
              <w:autoSpaceDE w:val="0"/>
              <w:autoSpaceDN w:val="0"/>
              <w:adjustRightInd w:val="0"/>
              <w:rPr>
                <w:sz w:val="22"/>
                <w:szCs w:val="22"/>
              </w:rPr>
            </w:pPr>
            <w:r w:rsidRPr="008A467D">
              <w:rPr>
                <w:sz w:val="22"/>
                <w:szCs w:val="22"/>
              </w:rPr>
              <w:t>VARIABLES</w:t>
            </w:r>
          </w:p>
        </w:tc>
        <w:tc>
          <w:tcPr>
            <w:tcW w:w="1584" w:type="dxa"/>
            <w:tcBorders>
              <w:top w:val="nil"/>
              <w:left w:val="nil"/>
              <w:bottom w:val="single" w:sz="6" w:space="0" w:color="auto"/>
              <w:right w:val="nil"/>
            </w:tcBorders>
          </w:tcPr>
          <w:p w14:paraId="1F62D751" w14:textId="5CFFC168" w:rsidR="00F95C56" w:rsidRPr="008A467D" w:rsidRDefault="577BF0F5" w:rsidP="0014174E">
            <w:pPr>
              <w:widowControl w:val="0"/>
              <w:autoSpaceDE w:val="0"/>
              <w:autoSpaceDN w:val="0"/>
              <w:adjustRightInd w:val="0"/>
              <w:jc w:val="center"/>
              <w:rPr>
                <w:sz w:val="22"/>
                <w:szCs w:val="22"/>
              </w:rPr>
            </w:pPr>
            <w:r w:rsidRPr="008A467D">
              <w:rPr>
                <w:sz w:val="22"/>
                <w:szCs w:val="22"/>
              </w:rPr>
              <w:t>Model</w:t>
            </w:r>
            <w:r w:rsidR="00AD41FD">
              <w:rPr>
                <w:sz w:val="22"/>
                <w:szCs w:val="22"/>
              </w:rPr>
              <w:t>o</w:t>
            </w:r>
            <w:r w:rsidRPr="008A467D">
              <w:rPr>
                <w:sz w:val="22"/>
                <w:szCs w:val="22"/>
              </w:rPr>
              <w:t xml:space="preserve"> </w:t>
            </w:r>
            <w:r w:rsidR="00F81661">
              <w:rPr>
                <w:sz w:val="22"/>
                <w:szCs w:val="22"/>
              </w:rPr>
              <w:t>1</w:t>
            </w:r>
          </w:p>
        </w:tc>
        <w:tc>
          <w:tcPr>
            <w:tcW w:w="1440" w:type="dxa"/>
            <w:tcBorders>
              <w:top w:val="nil"/>
              <w:left w:val="nil"/>
              <w:bottom w:val="single" w:sz="6" w:space="0" w:color="auto"/>
              <w:right w:val="nil"/>
            </w:tcBorders>
          </w:tcPr>
          <w:p w14:paraId="2DEB07B5" w14:textId="09899B6B" w:rsidR="00F95C56" w:rsidRPr="008A467D" w:rsidRDefault="577BF0F5" w:rsidP="0014174E">
            <w:pPr>
              <w:widowControl w:val="0"/>
              <w:autoSpaceDE w:val="0"/>
              <w:autoSpaceDN w:val="0"/>
              <w:adjustRightInd w:val="0"/>
              <w:jc w:val="center"/>
              <w:rPr>
                <w:sz w:val="22"/>
                <w:szCs w:val="22"/>
              </w:rPr>
            </w:pPr>
            <w:r w:rsidRPr="008A467D">
              <w:rPr>
                <w:sz w:val="22"/>
                <w:szCs w:val="22"/>
              </w:rPr>
              <w:t>Model</w:t>
            </w:r>
            <w:r w:rsidR="00AD41FD">
              <w:rPr>
                <w:sz w:val="22"/>
                <w:szCs w:val="22"/>
              </w:rPr>
              <w:t>o</w:t>
            </w:r>
            <w:r w:rsidRPr="008A467D">
              <w:rPr>
                <w:sz w:val="22"/>
                <w:szCs w:val="22"/>
              </w:rPr>
              <w:t xml:space="preserve"> 2</w:t>
            </w:r>
          </w:p>
        </w:tc>
        <w:tc>
          <w:tcPr>
            <w:tcW w:w="1584" w:type="dxa"/>
            <w:tcBorders>
              <w:top w:val="nil"/>
              <w:left w:val="nil"/>
              <w:bottom w:val="single" w:sz="6" w:space="0" w:color="auto"/>
              <w:right w:val="nil"/>
            </w:tcBorders>
          </w:tcPr>
          <w:p w14:paraId="2C9376F5" w14:textId="7F1C2019" w:rsidR="00F95C56" w:rsidRPr="008A467D" w:rsidRDefault="577BF0F5" w:rsidP="0014174E">
            <w:pPr>
              <w:widowControl w:val="0"/>
              <w:autoSpaceDE w:val="0"/>
              <w:autoSpaceDN w:val="0"/>
              <w:adjustRightInd w:val="0"/>
              <w:jc w:val="center"/>
              <w:rPr>
                <w:sz w:val="22"/>
                <w:szCs w:val="22"/>
              </w:rPr>
            </w:pPr>
            <w:r w:rsidRPr="008A467D">
              <w:rPr>
                <w:sz w:val="22"/>
                <w:szCs w:val="22"/>
              </w:rPr>
              <w:t>Model</w:t>
            </w:r>
            <w:r w:rsidR="00AD41FD">
              <w:rPr>
                <w:sz w:val="22"/>
                <w:szCs w:val="22"/>
              </w:rPr>
              <w:t>o</w:t>
            </w:r>
            <w:r w:rsidRPr="008A467D">
              <w:rPr>
                <w:sz w:val="22"/>
                <w:szCs w:val="22"/>
              </w:rPr>
              <w:t xml:space="preserve"> 3</w:t>
            </w:r>
          </w:p>
        </w:tc>
        <w:tc>
          <w:tcPr>
            <w:tcW w:w="1440" w:type="dxa"/>
            <w:tcBorders>
              <w:top w:val="nil"/>
              <w:left w:val="nil"/>
              <w:bottom w:val="single" w:sz="6" w:space="0" w:color="auto"/>
              <w:right w:val="nil"/>
            </w:tcBorders>
          </w:tcPr>
          <w:p w14:paraId="3047646E" w14:textId="7508632D" w:rsidR="00F95C56" w:rsidRPr="008A467D" w:rsidRDefault="577BF0F5" w:rsidP="0014174E">
            <w:pPr>
              <w:widowControl w:val="0"/>
              <w:autoSpaceDE w:val="0"/>
              <w:autoSpaceDN w:val="0"/>
              <w:adjustRightInd w:val="0"/>
              <w:jc w:val="center"/>
              <w:rPr>
                <w:sz w:val="22"/>
                <w:szCs w:val="22"/>
              </w:rPr>
            </w:pPr>
            <w:r w:rsidRPr="008A467D">
              <w:rPr>
                <w:sz w:val="22"/>
                <w:szCs w:val="22"/>
              </w:rPr>
              <w:t>Model</w:t>
            </w:r>
            <w:r w:rsidR="00AD41FD">
              <w:rPr>
                <w:sz w:val="22"/>
                <w:szCs w:val="22"/>
              </w:rPr>
              <w:t>o</w:t>
            </w:r>
            <w:r w:rsidRPr="008A467D">
              <w:rPr>
                <w:sz w:val="22"/>
                <w:szCs w:val="22"/>
              </w:rPr>
              <w:t xml:space="preserve"> 4</w:t>
            </w:r>
          </w:p>
        </w:tc>
      </w:tr>
      <w:tr w:rsidR="005E2B72" w:rsidRPr="008A467D" w14:paraId="1D7E08D1" w14:textId="77777777" w:rsidTr="577BF0F5">
        <w:trPr>
          <w:jc w:val="center"/>
        </w:trPr>
        <w:tc>
          <w:tcPr>
            <w:tcW w:w="3675" w:type="dxa"/>
            <w:tcBorders>
              <w:top w:val="nil"/>
              <w:left w:val="nil"/>
              <w:bottom w:val="nil"/>
              <w:right w:val="nil"/>
            </w:tcBorders>
          </w:tcPr>
          <w:p w14:paraId="05AC8DAB" w14:textId="77777777" w:rsidR="00F95C56" w:rsidRPr="008A467D" w:rsidRDefault="00F95C56" w:rsidP="0014174E">
            <w:pPr>
              <w:widowControl w:val="0"/>
              <w:autoSpaceDE w:val="0"/>
              <w:autoSpaceDN w:val="0"/>
              <w:adjustRightInd w:val="0"/>
              <w:rPr>
                <w:b/>
                <w:sz w:val="22"/>
                <w:szCs w:val="22"/>
              </w:rPr>
            </w:pPr>
          </w:p>
        </w:tc>
        <w:tc>
          <w:tcPr>
            <w:tcW w:w="1584" w:type="dxa"/>
            <w:tcBorders>
              <w:top w:val="nil"/>
              <w:left w:val="nil"/>
              <w:bottom w:val="nil"/>
              <w:right w:val="nil"/>
            </w:tcBorders>
          </w:tcPr>
          <w:p w14:paraId="47C399A2"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35E9C4C1"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642DDEFA"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4ED005DF"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690BAFA8" w14:textId="77777777" w:rsidTr="577BF0F5">
        <w:trPr>
          <w:jc w:val="center"/>
        </w:trPr>
        <w:tc>
          <w:tcPr>
            <w:tcW w:w="3675" w:type="dxa"/>
            <w:tcBorders>
              <w:top w:val="nil"/>
              <w:left w:val="nil"/>
              <w:bottom w:val="nil"/>
              <w:right w:val="nil"/>
            </w:tcBorders>
          </w:tcPr>
          <w:p w14:paraId="4392B406" w14:textId="77777777" w:rsidR="00F95C56" w:rsidRDefault="008A467D" w:rsidP="00730CF2">
            <w:pPr>
              <w:widowControl w:val="0"/>
              <w:autoSpaceDE w:val="0"/>
              <w:autoSpaceDN w:val="0"/>
              <w:adjustRightInd w:val="0"/>
              <w:rPr>
                <w:b/>
                <w:bCs/>
                <w:sz w:val="22"/>
                <w:szCs w:val="22"/>
              </w:rPr>
            </w:pPr>
            <w:r>
              <w:rPr>
                <w:b/>
                <w:bCs/>
                <w:sz w:val="22"/>
                <w:szCs w:val="22"/>
              </w:rPr>
              <w:t>Variables</w:t>
            </w:r>
            <w:r w:rsidR="577BF0F5" w:rsidRPr="008A467D">
              <w:rPr>
                <w:b/>
                <w:bCs/>
                <w:sz w:val="22"/>
                <w:szCs w:val="22"/>
              </w:rPr>
              <w:t xml:space="preserve"> de </w:t>
            </w:r>
            <w:r w:rsidR="00730CF2">
              <w:rPr>
                <w:b/>
                <w:bCs/>
                <w:sz w:val="22"/>
                <w:szCs w:val="22"/>
              </w:rPr>
              <w:t>estabilidad financiera</w:t>
            </w:r>
          </w:p>
          <w:p w14:paraId="0724F460" w14:textId="3B9A6D23" w:rsidR="00730CF2" w:rsidRPr="008A467D" w:rsidRDefault="00730CF2" w:rsidP="00730CF2">
            <w:pPr>
              <w:widowControl w:val="0"/>
              <w:autoSpaceDE w:val="0"/>
              <w:autoSpaceDN w:val="0"/>
              <w:adjustRightInd w:val="0"/>
              <w:rPr>
                <w:b/>
                <w:bCs/>
                <w:sz w:val="22"/>
                <w:szCs w:val="22"/>
              </w:rPr>
            </w:pPr>
          </w:p>
        </w:tc>
        <w:tc>
          <w:tcPr>
            <w:tcW w:w="1584" w:type="dxa"/>
            <w:tcBorders>
              <w:top w:val="nil"/>
              <w:left w:val="nil"/>
              <w:bottom w:val="nil"/>
              <w:right w:val="nil"/>
            </w:tcBorders>
          </w:tcPr>
          <w:p w14:paraId="2FBFAE10"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67857593"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05FC7979"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41CCCE1B"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03876DA0" w14:textId="77777777" w:rsidTr="577BF0F5">
        <w:trPr>
          <w:jc w:val="center"/>
        </w:trPr>
        <w:tc>
          <w:tcPr>
            <w:tcW w:w="3675" w:type="dxa"/>
            <w:tcBorders>
              <w:top w:val="nil"/>
              <w:left w:val="nil"/>
              <w:bottom w:val="nil"/>
              <w:right w:val="nil"/>
            </w:tcBorders>
          </w:tcPr>
          <w:p w14:paraId="005EB5AC" w14:textId="77777777" w:rsidR="00F95C56" w:rsidRPr="008A467D" w:rsidRDefault="577BF0F5" w:rsidP="0014174E">
            <w:pPr>
              <w:widowControl w:val="0"/>
              <w:autoSpaceDE w:val="0"/>
              <w:autoSpaceDN w:val="0"/>
              <w:adjustRightInd w:val="0"/>
              <w:rPr>
                <w:sz w:val="22"/>
                <w:szCs w:val="22"/>
              </w:rPr>
            </w:pPr>
            <w:r w:rsidRPr="008A467D">
              <w:rPr>
                <w:sz w:val="22"/>
                <w:szCs w:val="22"/>
              </w:rPr>
              <w:t>R_Corriente</w:t>
            </w:r>
          </w:p>
        </w:tc>
        <w:tc>
          <w:tcPr>
            <w:tcW w:w="1584" w:type="dxa"/>
            <w:tcBorders>
              <w:top w:val="nil"/>
              <w:left w:val="nil"/>
              <w:bottom w:val="nil"/>
              <w:right w:val="nil"/>
            </w:tcBorders>
          </w:tcPr>
          <w:p w14:paraId="4C6C41B4"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-2.910***</w:t>
            </w:r>
          </w:p>
        </w:tc>
        <w:tc>
          <w:tcPr>
            <w:tcW w:w="1440" w:type="dxa"/>
            <w:tcBorders>
              <w:top w:val="nil"/>
              <w:left w:val="nil"/>
              <w:bottom w:val="nil"/>
              <w:right w:val="nil"/>
            </w:tcBorders>
          </w:tcPr>
          <w:p w14:paraId="7021756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-1.738***</w:t>
            </w:r>
          </w:p>
        </w:tc>
        <w:tc>
          <w:tcPr>
            <w:tcW w:w="1584" w:type="dxa"/>
            <w:tcBorders>
              <w:top w:val="nil"/>
              <w:left w:val="nil"/>
              <w:bottom w:val="nil"/>
              <w:right w:val="nil"/>
            </w:tcBorders>
          </w:tcPr>
          <w:p w14:paraId="4EA1BE91"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-3.25***</w:t>
            </w:r>
          </w:p>
        </w:tc>
        <w:tc>
          <w:tcPr>
            <w:tcW w:w="1440" w:type="dxa"/>
            <w:tcBorders>
              <w:top w:val="nil"/>
              <w:left w:val="nil"/>
              <w:bottom w:val="nil"/>
              <w:right w:val="nil"/>
            </w:tcBorders>
          </w:tcPr>
          <w:p w14:paraId="2E18ABE6"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141EB64A" w14:textId="77777777" w:rsidTr="577BF0F5">
        <w:trPr>
          <w:jc w:val="center"/>
        </w:trPr>
        <w:tc>
          <w:tcPr>
            <w:tcW w:w="3675" w:type="dxa"/>
            <w:tcBorders>
              <w:top w:val="nil"/>
              <w:left w:val="nil"/>
              <w:bottom w:val="nil"/>
              <w:right w:val="nil"/>
            </w:tcBorders>
          </w:tcPr>
          <w:p w14:paraId="7D854925"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7D540F37"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(0.501)</w:t>
            </w:r>
          </w:p>
        </w:tc>
        <w:tc>
          <w:tcPr>
            <w:tcW w:w="1440" w:type="dxa"/>
            <w:tcBorders>
              <w:top w:val="nil"/>
              <w:left w:val="nil"/>
              <w:bottom w:val="nil"/>
              <w:right w:val="nil"/>
            </w:tcBorders>
          </w:tcPr>
          <w:p w14:paraId="1CD8BE1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(0.2177)</w:t>
            </w:r>
          </w:p>
        </w:tc>
        <w:tc>
          <w:tcPr>
            <w:tcW w:w="1584" w:type="dxa"/>
            <w:tcBorders>
              <w:top w:val="nil"/>
              <w:left w:val="nil"/>
              <w:bottom w:val="nil"/>
              <w:right w:val="nil"/>
            </w:tcBorders>
          </w:tcPr>
          <w:p w14:paraId="42009394"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(0.563)</w:t>
            </w:r>
          </w:p>
        </w:tc>
        <w:tc>
          <w:tcPr>
            <w:tcW w:w="1440" w:type="dxa"/>
            <w:tcBorders>
              <w:top w:val="nil"/>
              <w:left w:val="nil"/>
              <w:bottom w:val="nil"/>
              <w:right w:val="nil"/>
            </w:tcBorders>
          </w:tcPr>
          <w:p w14:paraId="2B2A62D8"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17BC5866" w14:textId="77777777" w:rsidTr="577BF0F5">
        <w:trPr>
          <w:jc w:val="center"/>
        </w:trPr>
        <w:tc>
          <w:tcPr>
            <w:tcW w:w="3675" w:type="dxa"/>
            <w:tcBorders>
              <w:top w:val="nil"/>
              <w:left w:val="nil"/>
              <w:bottom w:val="nil"/>
              <w:right w:val="nil"/>
            </w:tcBorders>
          </w:tcPr>
          <w:p w14:paraId="7943E2BC" w14:textId="77777777" w:rsidR="00F95C56" w:rsidRPr="008A467D" w:rsidRDefault="577BF0F5" w:rsidP="0014174E">
            <w:pPr>
              <w:widowControl w:val="0"/>
              <w:autoSpaceDE w:val="0"/>
              <w:autoSpaceDN w:val="0"/>
              <w:adjustRightInd w:val="0"/>
              <w:rPr>
                <w:sz w:val="22"/>
                <w:szCs w:val="22"/>
              </w:rPr>
            </w:pPr>
            <w:r w:rsidRPr="008A467D">
              <w:rPr>
                <w:sz w:val="22"/>
                <w:szCs w:val="22"/>
              </w:rPr>
              <w:t>dummyPerdidas</w:t>
            </w:r>
          </w:p>
        </w:tc>
        <w:tc>
          <w:tcPr>
            <w:tcW w:w="1584" w:type="dxa"/>
            <w:tcBorders>
              <w:top w:val="nil"/>
              <w:left w:val="nil"/>
              <w:bottom w:val="nil"/>
              <w:right w:val="nil"/>
            </w:tcBorders>
          </w:tcPr>
          <w:p w14:paraId="3C5E4CCB"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1.988**</w:t>
            </w:r>
          </w:p>
        </w:tc>
        <w:tc>
          <w:tcPr>
            <w:tcW w:w="1440" w:type="dxa"/>
            <w:tcBorders>
              <w:top w:val="nil"/>
              <w:left w:val="nil"/>
              <w:bottom w:val="nil"/>
              <w:right w:val="nil"/>
            </w:tcBorders>
          </w:tcPr>
          <w:p w14:paraId="08B4E36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2.839***</w:t>
            </w:r>
          </w:p>
        </w:tc>
        <w:tc>
          <w:tcPr>
            <w:tcW w:w="1584" w:type="dxa"/>
            <w:tcBorders>
              <w:top w:val="nil"/>
              <w:left w:val="nil"/>
              <w:bottom w:val="nil"/>
              <w:right w:val="nil"/>
            </w:tcBorders>
          </w:tcPr>
          <w:p w14:paraId="1E84061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1.175</w:t>
            </w:r>
          </w:p>
        </w:tc>
        <w:tc>
          <w:tcPr>
            <w:tcW w:w="1440" w:type="dxa"/>
            <w:tcBorders>
              <w:top w:val="nil"/>
              <w:left w:val="nil"/>
              <w:bottom w:val="nil"/>
              <w:right w:val="nil"/>
            </w:tcBorders>
          </w:tcPr>
          <w:p w14:paraId="49E95706"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67352037" w14:textId="77777777" w:rsidTr="577BF0F5">
        <w:trPr>
          <w:jc w:val="center"/>
        </w:trPr>
        <w:tc>
          <w:tcPr>
            <w:tcW w:w="3675" w:type="dxa"/>
            <w:tcBorders>
              <w:top w:val="nil"/>
              <w:left w:val="nil"/>
              <w:bottom w:val="nil"/>
              <w:right w:val="nil"/>
            </w:tcBorders>
          </w:tcPr>
          <w:p w14:paraId="2F980504"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76053AA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(0.882)</w:t>
            </w:r>
          </w:p>
        </w:tc>
        <w:tc>
          <w:tcPr>
            <w:tcW w:w="1440" w:type="dxa"/>
            <w:tcBorders>
              <w:top w:val="nil"/>
              <w:left w:val="nil"/>
              <w:bottom w:val="nil"/>
              <w:right w:val="nil"/>
            </w:tcBorders>
          </w:tcPr>
          <w:p w14:paraId="41A6F39A"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(0.7906)</w:t>
            </w:r>
          </w:p>
        </w:tc>
        <w:tc>
          <w:tcPr>
            <w:tcW w:w="1584" w:type="dxa"/>
            <w:tcBorders>
              <w:top w:val="nil"/>
              <w:left w:val="nil"/>
              <w:bottom w:val="nil"/>
              <w:right w:val="nil"/>
            </w:tcBorders>
          </w:tcPr>
          <w:p w14:paraId="3CDC2EF1"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(0.841)</w:t>
            </w:r>
          </w:p>
        </w:tc>
        <w:tc>
          <w:tcPr>
            <w:tcW w:w="1440" w:type="dxa"/>
            <w:tcBorders>
              <w:top w:val="nil"/>
              <w:left w:val="nil"/>
              <w:bottom w:val="nil"/>
              <w:right w:val="nil"/>
            </w:tcBorders>
          </w:tcPr>
          <w:p w14:paraId="66019EC7" w14:textId="77777777" w:rsidR="00F95C56" w:rsidRPr="008A467D" w:rsidRDefault="00F95C56" w:rsidP="0014174E">
            <w:pPr>
              <w:widowControl w:val="0"/>
              <w:autoSpaceDE w:val="0"/>
              <w:autoSpaceDN w:val="0"/>
              <w:adjustRightInd w:val="0"/>
              <w:jc w:val="center"/>
              <w:rPr>
                <w:sz w:val="22"/>
                <w:szCs w:val="22"/>
              </w:rPr>
            </w:pPr>
          </w:p>
        </w:tc>
      </w:tr>
      <w:tr w:rsidR="00F56ACF" w:rsidRPr="008A467D" w14:paraId="48F0DACE" w14:textId="77777777" w:rsidTr="577BF0F5">
        <w:trPr>
          <w:jc w:val="center"/>
        </w:trPr>
        <w:tc>
          <w:tcPr>
            <w:tcW w:w="3675" w:type="dxa"/>
            <w:tcBorders>
              <w:top w:val="nil"/>
              <w:left w:val="nil"/>
              <w:bottom w:val="nil"/>
              <w:right w:val="nil"/>
            </w:tcBorders>
          </w:tcPr>
          <w:p w14:paraId="7C21DBB5" w14:textId="4FC459D0" w:rsidR="00F95C56" w:rsidRPr="008A467D" w:rsidRDefault="004A4FED" w:rsidP="0014174E">
            <w:pPr>
              <w:widowControl w:val="0"/>
              <w:autoSpaceDE w:val="0"/>
              <w:autoSpaceDN w:val="0"/>
              <w:adjustRightInd w:val="0"/>
              <w:rPr>
                <w:sz w:val="22"/>
                <w:szCs w:val="22"/>
              </w:rPr>
            </w:pPr>
            <w:r>
              <w:rPr>
                <w:sz w:val="22"/>
                <w:szCs w:val="22"/>
              </w:rPr>
              <w:t>dummyPerdidas*País</w:t>
            </w:r>
            <w:r w:rsidR="577BF0F5" w:rsidRPr="008A467D">
              <w:rPr>
                <w:sz w:val="22"/>
                <w:szCs w:val="22"/>
              </w:rPr>
              <w:t xml:space="preserve">                       </w:t>
            </w:r>
          </w:p>
        </w:tc>
        <w:tc>
          <w:tcPr>
            <w:tcW w:w="1584" w:type="dxa"/>
            <w:tcBorders>
              <w:top w:val="nil"/>
              <w:left w:val="nil"/>
              <w:bottom w:val="nil"/>
              <w:right w:val="nil"/>
            </w:tcBorders>
          </w:tcPr>
          <w:p w14:paraId="39F6A704"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-1.2559</w:t>
            </w:r>
          </w:p>
        </w:tc>
        <w:tc>
          <w:tcPr>
            <w:tcW w:w="1440" w:type="dxa"/>
            <w:tcBorders>
              <w:top w:val="nil"/>
              <w:left w:val="nil"/>
              <w:bottom w:val="nil"/>
              <w:right w:val="nil"/>
            </w:tcBorders>
          </w:tcPr>
          <w:p w14:paraId="46720C76"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-1.5428                    </w:t>
            </w:r>
          </w:p>
        </w:tc>
        <w:tc>
          <w:tcPr>
            <w:tcW w:w="1584" w:type="dxa"/>
            <w:tcBorders>
              <w:top w:val="nil"/>
              <w:left w:val="nil"/>
              <w:bottom w:val="nil"/>
              <w:right w:val="nil"/>
            </w:tcBorders>
          </w:tcPr>
          <w:p w14:paraId="2054D3B3"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-0.131</w:t>
            </w:r>
          </w:p>
        </w:tc>
        <w:tc>
          <w:tcPr>
            <w:tcW w:w="1440" w:type="dxa"/>
            <w:tcBorders>
              <w:top w:val="nil"/>
              <w:left w:val="nil"/>
              <w:bottom w:val="nil"/>
              <w:right w:val="nil"/>
            </w:tcBorders>
          </w:tcPr>
          <w:p w14:paraId="714A42C8"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48C113F6" w14:textId="77777777" w:rsidTr="577BF0F5">
        <w:trPr>
          <w:jc w:val="center"/>
        </w:trPr>
        <w:tc>
          <w:tcPr>
            <w:tcW w:w="3675" w:type="dxa"/>
            <w:tcBorders>
              <w:top w:val="nil"/>
              <w:left w:val="nil"/>
              <w:bottom w:val="nil"/>
              <w:right w:val="nil"/>
            </w:tcBorders>
          </w:tcPr>
          <w:p w14:paraId="5B06FD41"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362EA073"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(1.356)</w:t>
            </w:r>
          </w:p>
        </w:tc>
        <w:tc>
          <w:tcPr>
            <w:tcW w:w="1440" w:type="dxa"/>
            <w:tcBorders>
              <w:top w:val="nil"/>
              <w:left w:val="nil"/>
              <w:bottom w:val="nil"/>
              <w:right w:val="nil"/>
            </w:tcBorders>
          </w:tcPr>
          <w:p w14:paraId="35CE1C97"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(1.209)</w:t>
            </w:r>
          </w:p>
        </w:tc>
        <w:tc>
          <w:tcPr>
            <w:tcW w:w="1584" w:type="dxa"/>
            <w:tcBorders>
              <w:top w:val="nil"/>
              <w:left w:val="nil"/>
              <w:bottom w:val="nil"/>
              <w:right w:val="nil"/>
            </w:tcBorders>
          </w:tcPr>
          <w:p w14:paraId="3F2BAB44"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(1.3611)</w:t>
            </w:r>
          </w:p>
        </w:tc>
        <w:tc>
          <w:tcPr>
            <w:tcW w:w="1440" w:type="dxa"/>
            <w:tcBorders>
              <w:top w:val="nil"/>
              <w:left w:val="nil"/>
              <w:bottom w:val="nil"/>
              <w:right w:val="nil"/>
            </w:tcBorders>
          </w:tcPr>
          <w:p w14:paraId="09562473"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4D298C09" w14:textId="77777777" w:rsidTr="577BF0F5">
        <w:trPr>
          <w:jc w:val="center"/>
        </w:trPr>
        <w:tc>
          <w:tcPr>
            <w:tcW w:w="3675" w:type="dxa"/>
            <w:tcBorders>
              <w:top w:val="nil"/>
              <w:left w:val="nil"/>
              <w:bottom w:val="nil"/>
              <w:right w:val="nil"/>
            </w:tcBorders>
          </w:tcPr>
          <w:p w14:paraId="3227A972" w14:textId="206CA798" w:rsidR="00F95C56" w:rsidRPr="008A467D" w:rsidRDefault="577BF0F5" w:rsidP="00730CF2">
            <w:pPr>
              <w:widowControl w:val="0"/>
              <w:autoSpaceDE w:val="0"/>
              <w:autoSpaceDN w:val="0"/>
              <w:adjustRightInd w:val="0"/>
              <w:rPr>
                <w:b/>
                <w:bCs/>
                <w:sz w:val="22"/>
                <w:szCs w:val="22"/>
              </w:rPr>
            </w:pPr>
            <w:r w:rsidRPr="008A467D">
              <w:rPr>
                <w:b/>
                <w:bCs/>
                <w:sz w:val="22"/>
                <w:szCs w:val="22"/>
              </w:rPr>
              <w:t xml:space="preserve">Variables </w:t>
            </w:r>
            <w:r w:rsidR="00730CF2">
              <w:rPr>
                <w:b/>
                <w:bCs/>
                <w:sz w:val="22"/>
                <w:szCs w:val="22"/>
              </w:rPr>
              <w:t>de desempeño sectorial</w:t>
            </w:r>
            <w:r w:rsidRPr="008A467D">
              <w:rPr>
                <w:b/>
                <w:bCs/>
                <w:sz w:val="22"/>
                <w:szCs w:val="22"/>
              </w:rPr>
              <w:t xml:space="preserve"> </w:t>
            </w:r>
          </w:p>
        </w:tc>
        <w:tc>
          <w:tcPr>
            <w:tcW w:w="1584" w:type="dxa"/>
            <w:tcBorders>
              <w:top w:val="nil"/>
              <w:left w:val="nil"/>
              <w:bottom w:val="nil"/>
              <w:right w:val="nil"/>
            </w:tcBorders>
          </w:tcPr>
          <w:p w14:paraId="369C5587"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2689F117"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14F2B90E"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3EB1FC51"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3EBC75AD" w14:textId="77777777" w:rsidTr="577BF0F5">
        <w:trPr>
          <w:jc w:val="center"/>
        </w:trPr>
        <w:tc>
          <w:tcPr>
            <w:tcW w:w="3675" w:type="dxa"/>
            <w:tcBorders>
              <w:top w:val="nil"/>
              <w:left w:val="nil"/>
              <w:bottom w:val="nil"/>
              <w:right w:val="nil"/>
            </w:tcBorders>
          </w:tcPr>
          <w:p w14:paraId="4DEE2297"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43B1D538"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184DA16F"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7536DBDD"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549DA47F"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02A4AD0C" w14:textId="77777777" w:rsidTr="577BF0F5">
        <w:trPr>
          <w:jc w:val="center"/>
        </w:trPr>
        <w:tc>
          <w:tcPr>
            <w:tcW w:w="3675" w:type="dxa"/>
            <w:tcBorders>
              <w:top w:val="nil"/>
              <w:left w:val="nil"/>
              <w:bottom w:val="nil"/>
              <w:right w:val="nil"/>
            </w:tcBorders>
          </w:tcPr>
          <w:p w14:paraId="5EFB4A02" w14:textId="77777777" w:rsidR="00F95C56" w:rsidRPr="008A467D" w:rsidRDefault="577BF0F5" w:rsidP="0014174E">
            <w:pPr>
              <w:widowControl w:val="0"/>
              <w:autoSpaceDE w:val="0"/>
              <w:autoSpaceDN w:val="0"/>
              <w:adjustRightInd w:val="0"/>
              <w:rPr>
                <w:sz w:val="22"/>
                <w:szCs w:val="22"/>
              </w:rPr>
            </w:pPr>
            <w:r w:rsidRPr="008A467D">
              <w:rPr>
                <w:sz w:val="22"/>
                <w:szCs w:val="22"/>
              </w:rPr>
              <w:t>dummypibsector1</w:t>
            </w:r>
          </w:p>
        </w:tc>
        <w:tc>
          <w:tcPr>
            <w:tcW w:w="1584" w:type="dxa"/>
            <w:tcBorders>
              <w:top w:val="nil"/>
              <w:left w:val="nil"/>
              <w:bottom w:val="nil"/>
              <w:right w:val="nil"/>
            </w:tcBorders>
          </w:tcPr>
          <w:p w14:paraId="6953189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1.2558*</w:t>
            </w:r>
          </w:p>
        </w:tc>
        <w:tc>
          <w:tcPr>
            <w:tcW w:w="1440" w:type="dxa"/>
            <w:tcBorders>
              <w:top w:val="nil"/>
              <w:left w:val="nil"/>
              <w:bottom w:val="nil"/>
              <w:right w:val="nil"/>
            </w:tcBorders>
          </w:tcPr>
          <w:p w14:paraId="33E398AC"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-1.0516</w:t>
            </w:r>
          </w:p>
        </w:tc>
        <w:tc>
          <w:tcPr>
            <w:tcW w:w="1584" w:type="dxa"/>
            <w:tcBorders>
              <w:top w:val="nil"/>
              <w:left w:val="nil"/>
              <w:bottom w:val="nil"/>
              <w:right w:val="nil"/>
            </w:tcBorders>
          </w:tcPr>
          <w:p w14:paraId="3D64D853"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60CBB9D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-0.1306</w:t>
            </w:r>
          </w:p>
        </w:tc>
      </w:tr>
      <w:tr w:rsidR="005E2B72" w:rsidRPr="008A467D" w14:paraId="5A7A0E01" w14:textId="77777777" w:rsidTr="577BF0F5">
        <w:trPr>
          <w:jc w:val="center"/>
        </w:trPr>
        <w:tc>
          <w:tcPr>
            <w:tcW w:w="3675" w:type="dxa"/>
            <w:tcBorders>
              <w:top w:val="nil"/>
              <w:left w:val="nil"/>
              <w:bottom w:val="nil"/>
              <w:right w:val="nil"/>
            </w:tcBorders>
          </w:tcPr>
          <w:p w14:paraId="028F4D3A"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4E924F7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(0.809)</w:t>
            </w:r>
          </w:p>
        </w:tc>
        <w:tc>
          <w:tcPr>
            <w:tcW w:w="1440" w:type="dxa"/>
            <w:tcBorders>
              <w:top w:val="nil"/>
              <w:left w:val="nil"/>
              <w:bottom w:val="nil"/>
              <w:right w:val="nil"/>
            </w:tcBorders>
          </w:tcPr>
          <w:p w14:paraId="5DFF44D7"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(0.7561)</w:t>
            </w:r>
          </w:p>
        </w:tc>
        <w:tc>
          <w:tcPr>
            <w:tcW w:w="1584" w:type="dxa"/>
            <w:tcBorders>
              <w:top w:val="nil"/>
              <w:left w:val="nil"/>
              <w:bottom w:val="nil"/>
              <w:right w:val="nil"/>
            </w:tcBorders>
          </w:tcPr>
          <w:p w14:paraId="2500E2A5"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2E03950E"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(0.544)</w:t>
            </w:r>
          </w:p>
        </w:tc>
      </w:tr>
      <w:tr w:rsidR="00F56ACF" w:rsidRPr="008A467D" w14:paraId="5AF287F3" w14:textId="77777777" w:rsidTr="004A4FED">
        <w:trPr>
          <w:trHeight w:val="274"/>
          <w:jc w:val="center"/>
        </w:trPr>
        <w:tc>
          <w:tcPr>
            <w:tcW w:w="3675" w:type="dxa"/>
            <w:tcBorders>
              <w:top w:val="nil"/>
              <w:left w:val="nil"/>
              <w:bottom w:val="nil"/>
              <w:right w:val="nil"/>
            </w:tcBorders>
          </w:tcPr>
          <w:p w14:paraId="177826FD" w14:textId="68752D43" w:rsidR="00F95C56" w:rsidRPr="008A467D" w:rsidRDefault="004A4FED" w:rsidP="0014174E">
            <w:pPr>
              <w:widowControl w:val="0"/>
              <w:autoSpaceDE w:val="0"/>
              <w:autoSpaceDN w:val="0"/>
              <w:adjustRightInd w:val="0"/>
              <w:rPr>
                <w:sz w:val="22"/>
                <w:szCs w:val="22"/>
              </w:rPr>
            </w:pPr>
            <w:r>
              <w:rPr>
                <w:sz w:val="22"/>
                <w:szCs w:val="22"/>
              </w:rPr>
              <w:t>dummypibsector1*País</w:t>
            </w:r>
          </w:p>
        </w:tc>
        <w:tc>
          <w:tcPr>
            <w:tcW w:w="1584" w:type="dxa"/>
            <w:tcBorders>
              <w:top w:val="nil"/>
              <w:left w:val="nil"/>
              <w:bottom w:val="nil"/>
              <w:right w:val="nil"/>
            </w:tcBorders>
          </w:tcPr>
          <w:p w14:paraId="777C7D97"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-2.744**</w:t>
            </w:r>
          </w:p>
        </w:tc>
        <w:tc>
          <w:tcPr>
            <w:tcW w:w="1440" w:type="dxa"/>
            <w:tcBorders>
              <w:top w:val="nil"/>
              <w:left w:val="nil"/>
              <w:bottom w:val="nil"/>
              <w:right w:val="nil"/>
            </w:tcBorders>
          </w:tcPr>
          <w:p w14:paraId="7DEB0735"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0.8853</w:t>
            </w:r>
          </w:p>
        </w:tc>
        <w:tc>
          <w:tcPr>
            <w:tcW w:w="1584" w:type="dxa"/>
            <w:tcBorders>
              <w:top w:val="nil"/>
              <w:left w:val="nil"/>
              <w:bottom w:val="nil"/>
              <w:right w:val="nil"/>
            </w:tcBorders>
          </w:tcPr>
          <w:p w14:paraId="3C80781C"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278CADC1" w14:textId="235CB993" w:rsidR="00F95C56" w:rsidRPr="008A467D" w:rsidRDefault="577BF0F5" w:rsidP="0014174E">
            <w:pPr>
              <w:widowControl w:val="0"/>
              <w:autoSpaceDE w:val="0"/>
              <w:autoSpaceDN w:val="0"/>
              <w:adjustRightInd w:val="0"/>
              <w:rPr>
                <w:sz w:val="22"/>
                <w:szCs w:val="22"/>
              </w:rPr>
            </w:pPr>
            <w:r w:rsidRPr="008A467D">
              <w:rPr>
                <w:sz w:val="22"/>
                <w:szCs w:val="22"/>
              </w:rPr>
              <w:t xml:space="preserve">   </w:t>
            </w:r>
            <w:r w:rsidR="008A467D">
              <w:rPr>
                <w:sz w:val="22"/>
                <w:szCs w:val="22"/>
              </w:rPr>
              <w:t xml:space="preserve">  </w:t>
            </w:r>
            <w:r w:rsidRPr="008A467D">
              <w:rPr>
                <w:sz w:val="22"/>
                <w:szCs w:val="22"/>
              </w:rPr>
              <w:t>-0.9275</w:t>
            </w:r>
          </w:p>
        </w:tc>
      </w:tr>
      <w:tr w:rsidR="00F56ACF" w:rsidRPr="008A467D" w14:paraId="07D2C88D" w14:textId="77777777" w:rsidTr="577BF0F5">
        <w:trPr>
          <w:jc w:val="center"/>
        </w:trPr>
        <w:tc>
          <w:tcPr>
            <w:tcW w:w="3675" w:type="dxa"/>
            <w:tcBorders>
              <w:top w:val="nil"/>
              <w:left w:val="nil"/>
              <w:bottom w:val="nil"/>
              <w:right w:val="nil"/>
            </w:tcBorders>
          </w:tcPr>
          <w:p w14:paraId="25565004"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7B488204"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(1.319)</w:t>
            </w:r>
          </w:p>
        </w:tc>
        <w:tc>
          <w:tcPr>
            <w:tcW w:w="1440" w:type="dxa"/>
            <w:tcBorders>
              <w:top w:val="nil"/>
              <w:left w:val="nil"/>
              <w:bottom w:val="nil"/>
              <w:right w:val="nil"/>
            </w:tcBorders>
          </w:tcPr>
          <w:p w14:paraId="27B0C81E" w14:textId="77777777" w:rsidR="00F95C56" w:rsidRPr="008A467D" w:rsidRDefault="577BF0F5" w:rsidP="0014174E">
            <w:pPr>
              <w:widowControl w:val="0"/>
              <w:autoSpaceDE w:val="0"/>
              <w:autoSpaceDN w:val="0"/>
              <w:adjustRightInd w:val="0"/>
              <w:rPr>
                <w:sz w:val="22"/>
                <w:szCs w:val="22"/>
              </w:rPr>
            </w:pPr>
            <w:r w:rsidRPr="008A467D">
              <w:rPr>
                <w:sz w:val="22"/>
                <w:szCs w:val="22"/>
              </w:rPr>
              <w:t xml:space="preserve">    (1.113)</w:t>
            </w:r>
          </w:p>
        </w:tc>
        <w:tc>
          <w:tcPr>
            <w:tcW w:w="1584" w:type="dxa"/>
            <w:tcBorders>
              <w:top w:val="nil"/>
              <w:left w:val="nil"/>
              <w:bottom w:val="nil"/>
              <w:right w:val="nil"/>
            </w:tcBorders>
          </w:tcPr>
          <w:p w14:paraId="43F9F9B2"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67ECF07D" w14:textId="013F9C5D" w:rsidR="00F95C56" w:rsidRPr="008A467D" w:rsidRDefault="577BF0F5" w:rsidP="0014174E">
            <w:pPr>
              <w:widowControl w:val="0"/>
              <w:autoSpaceDE w:val="0"/>
              <w:autoSpaceDN w:val="0"/>
              <w:adjustRightInd w:val="0"/>
              <w:rPr>
                <w:sz w:val="22"/>
                <w:szCs w:val="22"/>
              </w:rPr>
            </w:pPr>
            <w:r w:rsidRPr="008A467D">
              <w:rPr>
                <w:sz w:val="22"/>
                <w:szCs w:val="22"/>
              </w:rPr>
              <w:t xml:space="preserve">    </w:t>
            </w:r>
            <w:r w:rsidR="008A467D">
              <w:rPr>
                <w:sz w:val="22"/>
                <w:szCs w:val="22"/>
              </w:rPr>
              <w:t xml:space="preserve"> </w:t>
            </w:r>
            <w:r w:rsidRPr="008A467D">
              <w:rPr>
                <w:sz w:val="22"/>
                <w:szCs w:val="22"/>
              </w:rPr>
              <w:t>(0.7413)</w:t>
            </w:r>
          </w:p>
        </w:tc>
      </w:tr>
      <w:tr w:rsidR="005E2B72" w:rsidRPr="008A467D" w14:paraId="517D524A" w14:textId="77777777" w:rsidTr="577BF0F5">
        <w:trPr>
          <w:jc w:val="center"/>
        </w:trPr>
        <w:tc>
          <w:tcPr>
            <w:tcW w:w="3675" w:type="dxa"/>
            <w:tcBorders>
              <w:top w:val="nil"/>
              <w:left w:val="nil"/>
              <w:bottom w:val="nil"/>
              <w:right w:val="nil"/>
            </w:tcBorders>
          </w:tcPr>
          <w:p w14:paraId="3C64743B" w14:textId="77777777" w:rsidR="00F95C56" w:rsidRPr="008A467D" w:rsidRDefault="577BF0F5" w:rsidP="0014174E">
            <w:pPr>
              <w:widowControl w:val="0"/>
              <w:autoSpaceDE w:val="0"/>
              <w:autoSpaceDN w:val="0"/>
              <w:adjustRightInd w:val="0"/>
              <w:rPr>
                <w:sz w:val="22"/>
                <w:szCs w:val="22"/>
              </w:rPr>
            </w:pPr>
            <w:r w:rsidRPr="008A467D">
              <w:rPr>
                <w:sz w:val="22"/>
                <w:szCs w:val="22"/>
              </w:rPr>
              <w:t>crecimientoDecrecimiento</w:t>
            </w:r>
          </w:p>
        </w:tc>
        <w:tc>
          <w:tcPr>
            <w:tcW w:w="1584" w:type="dxa"/>
            <w:tcBorders>
              <w:top w:val="nil"/>
              <w:left w:val="nil"/>
              <w:bottom w:val="nil"/>
              <w:right w:val="nil"/>
            </w:tcBorders>
          </w:tcPr>
          <w:p w14:paraId="74CBDF4F"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0.0084</w:t>
            </w:r>
          </w:p>
        </w:tc>
        <w:tc>
          <w:tcPr>
            <w:tcW w:w="1440" w:type="dxa"/>
            <w:tcBorders>
              <w:top w:val="nil"/>
              <w:left w:val="nil"/>
              <w:bottom w:val="nil"/>
              <w:right w:val="nil"/>
            </w:tcBorders>
          </w:tcPr>
          <w:p w14:paraId="4C42DEC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0.1045*</w:t>
            </w:r>
          </w:p>
        </w:tc>
        <w:tc>
          <w:tcPr>
            <w:tcW w:w="1584" w:type="dxa"/>
            <w:tcBorders>
              <w:top w:val="nil"/>
              <w:left w:val="nil"/>
              <w:bottom w:val="nil"/>
              <w:right w:val="nil"/>
            </w:tcBorders>
          </w:tcPr>
          <w:p w14:paraId="3C691C2F"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276B1124" w14:textId="6014C20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w:t>
            </w:r>
            <w:r w:rsidR="008A467D">
              <w:rPr>
                <w:sz w:val="22"/>
                <w:szCs w:val="22"/>
              </w:rPr>
              <w:t xml:space="preserve"> </w:t>
            </w:r>
            <w:r w:rsidRPr="008A467D">
              <w:rPr>
                <w:sz w:val="22"/>
                <w:szCs w:val="22"/>
              </w:rPr>
              <w:t>0.0982**</w:t>
            </w:r>
          </w:p>
        </w:tc>
      </w:tr>
      <w:tr w:rsidR="005E2B72" w:rsidRPr="008A467D" w14:paraId="7022AD3D" w14:textId="77777777" w:rsidTr="577BF0F5">
        <w:trPr>
          <w:jc w:val="center"/>
        </w:trPr>
        <w:tc>
          <w:tcPr>
            <w:tcW w:w="3675" w:type="dxa"/>
            <w:tcBorders>
              <w:top w:val="nil"/>
              <w:left w:val="nil"/>
              <w:bottom w:val="nil"/>
              <w:right w:val="nil"/>
            </w:tcBorders>
          </w:tcPr>
          <w:p w14:paraId="4FCAD446"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333E50C8"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(0.077)</w:t>
            </w:r>
          </w:p>
        </w:tc>
        <w:tc>
          <w:tcPr>
            <w:tcW w:w="1440" w:type="dxa"/>
            <w:tcBorders>
              <w:top w:val="nil"/>
              <w:left w:val="nil"/>
              <w:bottom w:val="nil"/>
              <w:right w:val="nil"/>
            </w:tcBorders>
          </w:tcPr>
          <w:p w14:paraId="78ADC9D7"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(0.0549)</w:t>
            </w:r>
          </w:p>
        </w:tc>
        <w:tc>
          <w:tcPr>
            <w:tcW w:w="1584" w:type="dxa"/>
            <w:tcBorders>
              <w:top w:val="nil"/>
              <w:left w:val="nil"/>
              <w:bottom w:val="nil"/>
              <w:right w:val="nil"/>
            </w:tcBorders>
          </w:tcPr>
          <w:p w14:paraId="3E253E5B"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35D60FA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(0.0463)</w:t>
            </w:r>
          </w:p>
        </w:tc>
      </w:tr>
      <w:tr w:rsidR="005E2B72" w:rsidRPr="008A467D" w14:paraId="6902AA88" w14:textId="77777777" w:rsidTr="577BF0F5">
        <w:trPr>
          <w:jc w:val="center"/>
        </w:trPr>
        <w:tc>
          <w:tcPr>
            <w:tcW w:w="3675" w:type="dxa"/>
            <w:tcBorders>
              <w:top w:val="nil"/>
              <w:left w:val="nil"/>
              <w:bottom w:val="nil"/>
              <w:right w:val="nil"/>
            </w:tcBorders>
          </w:tcPr>
          <w:p w14:paraId="7D5CF2DE" w14:textId="77777777" w:rsidR="00F95C56" w:rsidRPr="008A467D" w:rsidRDefault="577BF0F5" w:rsidP="0014174E">
            <w:pPr>
              <w:widowControl w:val="0"/>
              <w:autoSpaceDE w:val="0"/>
              <w:autoSpaceDN w:val="0"/>
              <w:adjustRightInd w:val="0"/>
              <w:rPr>
                <w:sz w:val="22"/>
                <w:szCs w:val="22"/>
              </w:rPr>
            </w:pPr>
            <w:r w:rsidRPr="008A467D">
              <w:rPr>
                <w:sz w:val="22"/>
                <w:szCs w:val="22"/>
              </w:rPr>
              <w:t>dummypibsector2</w:t>
            </w:r>
          </w:p>
        </w:tc>
        <w:tc>
          <w:tcPr>
            <w:tcW w:w="1584" w:type="dxa"/>
            <w:tcBorders>
              <w:top w:val="nil"/>
              <w:left w:val="nil"/>
              <w:bottom w:val="nil"/>
              <w:right w:val="nil"/>
            </w:tcBorders>
          </w:tcPr>
          <w:p w14:paraId="71DE3CA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0.6253</w:t>
            </w:r>
          </w:p>
        </w:tc>
        <w:tc>
          <w:tcPr>
            <w:tcW w:w="1440" w:type="dxa"/>
            <w:tcBorders>
              <w:top w:val="nil"/>
              <w:left w:val="nil"/>
              <w:bottom w:val="nil"/>
              <w:right w:val="nil"/>
            </w:tcBorders>
          </w:tcPr>
          <w:p w14:paraId="75C91B2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1.081*</w:t>
            </w:r>
          </w:p>
        </w:tc>
        <w:tc>
          <w:tcPr>
            <w:tcW w:w="1584" w:type="dxa"/>
            <w:tcBorders>
              <w:top w:val="nil"/>
              <w:left w:val="nil"/>
              <w:bottom w:val="nil"/>
              <w:right w:val="nil"/>
            </w:tcBorders>
          </w:tcPr>
          <w:p w14:paraId="3F2343DE"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46EF6501"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-0.1564</w:t>
            </w:r>
          </w:p>
        </w:tc>
      </w:tr>
      <w:tr w:rsidR="005E2B72" w:rsidRPr="008A467D" w14:paraId="52DDC894" w14:textId="77777777" w:rsidTr="577BF0F5">
        <w:trPr>
          <w:jc w:val="center"/>
        </w:trPr>
        <w:tc>
          <w:tcPr>
            <w:tcW w:w="3675" w:type="dxa"/>
            <w:tcBorders>
              <w:top w:val="nil"/>
              <w:left w:val="nil"/>
              <w:bottom w:val="nil"/>
              <w:right w:val="nil"/>
            </w:tcBorders>
          </w:tcPr>
          <w:p w14:paraId="26551513"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2916426F"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(0.6105)</w:t>
            </w:r>
          </w:p>
        </w:tc>
        <w:tc>
          <w:tcPr>
            <w:tcW w:w="1440" w:type="dxa"/>
            <w:tcBorders>
              <w:top w:val="nil"/>
              <w:left w:val="nil"/>
              <w:bottom w:val="nil"/>
              <w:right w:val="nil"/>
            </w:tcBorders>
          </w:tcPr>
          <w:p w14:paraId="55FF6F92"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(0.5559)</w:t>
            </w:r>
          </w:p>
        </w:tc>
        <w:tc>
          <w:tcPr>
            <w:tcW w:w="1584" w:type="dxa"/>
            <w:tcBorders>
              <w:top w:val="nil"/>
              <w:left w:val="nil"/>
              <w:bottom w:val="nil"/>
              <w:right w:val="nil"/>
            </w:tcBorders>
          </w:tcPr>
          <w:p w14:paraId="4368064F"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08C6EF7A" w14:textId="005E4BAB" w:rsidR="00F95C56" w:rsidRPr="008A467D" w:rsidRDefault="008A467D" w:rsidP="0014174E">
            <w:pPr>
              <w:widowControl w:val="0"/>
              <w:autoSpaceDE w:val="0"/>
              <w:autoSpaceDN w:val="0"/>
              <w:adjustRightInd w:val="0"/>
              <w:jc w:val="center"/>
              <w:rPr>
                <w:sz w:val="22"/>
                <w:szCs w:val="22"/>
              </w:rPr>
            </w:pPr>
            <w:r>
              <w:rPr>
                <w:sz w:val="22"/>
                <w:szCs w:val="22"/>
              </w:rPr>
              <w:t xml:space="preserve"> </w:t>
            </w:r>
            <w:r w:rsidR="577BF0F5" w:rsidRPr="008A467D">
              <w:rPr>
                <w:sz w:val="22"/>
                <w:szCs w:val="22"/>
              </w:rPr>
              <w:t>(0.3617)</w:t>
            </w:r>
          </w:p>
        </w:tc>
      </w:tr>
      <w:tr w:rsidR="005E2B72" w:rsidRPr="008A467D" w14:paraId="13C3AD5A" w14:textId="77777777" w:rsidTr="577BF0F5">
        <w:trPr>
          <w:jc w:val="center"/>
        </w:trPr>
        <w:tc>
          <w:tcPr>
            <w:tcW w:w="3675" w:type="dxa"/>
            <w:tcBorders>
              <w:top w:val="nil"/>
              <w:left w:val="nil"/>
              <w:bottom w:val="nil"/>
              <w:right w:val="nil"/>
            </w:tcBorders>
          </w:tcPr>
          <w:p w14:paraId="2164A484" w14:textId="03A3AE1A" w:rsidR="00730CF2" w:rsidRPr="008A467D" w:rsidRDefault="577BF0F5" w:rsidP="0014174E">
            <w:pPr>
              <w:widowControl w:val="0"/>
              <w:autoSpaceDE w:val="0"/>
              <w:autoSpaceDN w:val="0"/>
              <w:adjustRightInd w:val="0"/>
              <w:rPr>
                <w:b/>
                <w:bCs/>
                <w:sz w:val="22"/>
                <w:szCs w:val="22"/>
              </w:rPr>
            </w:pPr>
            <w:r w:rsidRPr="008A467D">
              <w:rPr>
                <w:b/>
                <w:bCs/>
                <w:sz w:val="22"/>
                <w:szCs w:val="22"/>
              </w:rPr>
              <w:t>Variables de control</w:t>
            </w:r>
          </w:p>
        </w:tc>
        <w:tc>
          <w:tcPr>
            <w:tcW w:w="1584" w:type="dxa"/>
            <w:tcBorders>
              <w:top w:val="nil"/>
              <w:left w:val="nil"/>
              <w:bottom w:val="nil"/>
              <w:right w:val="nil"/>
            </w:tcBorders>
          </w:tcPr>
          <w:p w14:paraId="2D08321F"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2E77A4C2"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3EF8639E"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5A1286A1"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2CC502CC" w14:textId="77777777" w:rsidTr="577BF0F5">
        <w:trPr>
          <w:jc w:val="center"/>
        </w:trPr>
        <w:tc>
          <w:tcPr>
            <w:tcW w:w="3675" w:type="dxa"/>
            <w:tcBorders>
              <w:top w:val="nil"/>
              <w:left w:val="nil"/>
              <w:bottom w:val="nil"/>
              <w:right w:val="nil"/>
            </w:tcBorders>
          </w:tcPr>
          <w:p w14:paraId="54DE0786"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64D37180"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1EB622D4"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4C62E500"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08F7FD81"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4B3B2DCE" w14:textId="77777777" w:rsidTr="577BF0F5">
        <w:trPr>
          <w:jc w:val="center"/>
        </w:trPr>
        <w:tc>
          <w:tcPr>
            <w:tcW w:w="3675" w:type="dxa"/>
            <w:tcBorders>
              <w:top w:val="nil"/>
              <w:left w:val="nil"/>
              <w:bottom w:val="nil"/>
              <w:right w:val="nil"/>
            </w:tcBorders>
          </w:tcPr>
          <w:p w14:paraId="1D092A26" w14:textId="77777777" w:rsidR="00F95C56" w:rsidRPr="008A467D" w:rsidRDefault="577BF0F5" w:rsidP="0014174E">
            <w:pPr>
              <w:widowControl w:val="0"/>
              <w:autoSpaceDE w:val="0"/>
              <w:autoSpaceDN w:val="0"/>
              <w:adjustRightInd w:val="0"/>
              <w:rPr>
                <w:sz w:val="22"/>
                <w:szCs w:val="22"/>
              </w:rPr>
            </w:pPr>
            <w:r w:rsidRPr="008A467D">
              <w:rPr>
                <w:sz w:val="22"/>
                <w:szCs w:val="22"/>
              </w:rPr>
              <w:t>Per (Price earnings ratio)</w:t>
            </w:r>
          </w:p>
        </w:tc>
        <w:tc>
          <w:tcPr>
            <w:tcW w:w="1584" w:type="dxa"/>
            <w:tcBorders>
              <w:top w:val="nil"/>
              <w:left w:val="nil"/>
              <w:bottom w:val="nil"/>
              <w:right w:val="nil"/>
            </w:tcBorders>
          </w:tcPr>
          <w:p w14:paraId="03A2A5B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0.002353*</w:t>
            </w:r>
          </w:p>
        </w:tc>
        <w:tc>
          <w:tcPr>
            <w:tcW w:w="1440" w:type="dxa"/>
            <w:tcBorders>
              <w:top w:val="nil"/>
              <w:left w:val="nil"/>
              <w:bottom w:val="nil"/>
              <w:right w:val="nil"/>
            </w:tcBorders>
          </w:tcPr>
          <w:p w14:paraId="11BBE98C"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70FB5CB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0.00178</w:t>
            </w:r>
          </w:p>
        </w:tc>
        <w:tc>
          <w:tcPr>
            <w:tcW w:w="1440" w:type="dxa"/>
            <w:tcBorders>
              <w:top w:val="nil"/>
              <w:left w:val="nil"/>
              <w:bottom w:val="nil"/>
              <w:right w:val="nil"/>
            </w:tcBorders>
          </w:tcPr>
          <w:p w14:paraId="76202BBF"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1627F54D" w14:textId="77777777" w:rsidTr="577BF0F5">
        <w:trPr>
          <w:jc w:val="center"/>
        </w:trPr>
        <w:tc>
          <w:tcPr>
            <w:tcW w:w="3675" w:type="dxa"/>
            <w:tcBorders>
              <w:top w:val="nil"/>
              <w:left w:val="nil"/>
              <w:bottom w:val="nil"/>
              <w:right w:val="nil"/>
            </w:tcBorders>
          </w:tcPr>
          <w:p w14:paraId="38591592"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4C9D64CB"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(0.00135)</w:t>
            </w:r>
          </w:p>
        </w:tc>
        <w:tc>
          <w:tcPr>
            <w:tcW w:w="1440" w:type="dxa"/>
            <w:tcBorders>
              <w:top w:val="nil"/>
              <w:left w:val="nil"/>
              <w:bottom w:val="nil"/>
              <w:right w:val="nil"/>
            </w:tcBorders>
          </w:tcPr>
          <w:p w14:paraId="4D30A905"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5ED1068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(0.0015)</w:t>
            </w:r>
          </w:p>
        </w:tc>
        <w:tc>
          <w:tcPr>
            <w:tcW w:w="1440" w:type="dxa"/>
            <w:tcBorders>
              <w:top w:val="nil"/>
              <w:left w:val="nil"/>
              <w:bottom w:val="nil"/>
              <w:right w:val="nil"/>
            </w:tcBorders>
          </w:tcPr>
          <w:p w14:paraId="13F41720"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1DBD4AA1" w14:textId="77777777" w:rsidTr="577BF0F5">
        <w:trPr>
          <w:jc w:val="center"/>
        </w:trPr>
        <w:tc>
          <w:tcPr>
            <w:tcW w:w="3675" w:type="dxa"/>
            <w:tcBorders>
              <w:top w:val="nil"/>
              <w:left w:val="nil"/>
              <w:bottom w:val="nil"/>
              <w:right w:val="nil"/>
            </w:tcBorders>
          </w:tcPr>
          <w:p w14:paraId="15FA5A2D" w14:textId="77777777" w:rsidR="00F95C56" w:rsidRPr="008A467D" w:rsidRDefault="577BF0F5" w:rsidP="0014174E">
            <w:pPr>
              <w:widowControl w:val="0"/>
              <w:autoSpaceDE w:val="0"/>
              <w:autoSpaceDN w:val="0"/>
              <w:adjustRightInd w:val="0"/>
              <w:rPr>
                <w:sz w:val="22"/>
                <w:szCs w:val="22"/>
              </w:rPr>
            </w:pPr>
            <w:r w:rsidRPr="008A467D">
              <w:rPr>
                <w:sz w:val="22"/>
                <w:szCs w:val="22"/>
              </w:rPr>
              <w:t>tamañoEmpresa_M (MM USD)</w:t>
            </w:r>
          </w:p>
        </w:tc>
        <w:tc>
          <w:tcPr>
            <w:tcW w:w="1584" w:type="dxa"/>
            <w:tcBorders>
              <w:top w:val="nil"/>
              <w:left w:val="nil"/>
              <w:bottom w:val="nil"/>
              <w:right w:val="nil"/>
            </w:tcBorders>
          </w:tcPr>
          <w:p w14:paraId="4062239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-0.00015**</w:t>
            </w:r>
          </w:p>
          <w:p w14:paraId="0FFC87B7"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65EF36DE"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2518D61D"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7.36e-06</w:t>
            </w:r>
          </w:p>
        </w:tc>
        <w:tc>
          <w:tcPr>
            <w:tcW w:w="1440" w:type="dxa"/>
            <w:tcBorders>
              <w:top w:val="nil"/>
              <w:left w:val="nil"/>
              <w:bottom w:val="nil"/>
              <w:right w:val="nil"/>
            </w:tcBorders>
          </w:tcPr>
          <w:p w14:paraId="44DAECDA"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16A98213" w14:textId="77777777" w:rsidTr="577BF0F5">
        <w:trPr>
          <w:jc w:val="center"/>
        </w:trPr>
        <w:tc>
          <w:tcPr>
            <w:tcW w:w="3675" w:type="dxa"/>
            <w:tcBorders>
              <w:top w:val="nil"/>
              <w:left w:val="nil"/>
              <w:bottom w:val="nil"/>
              <w:right w:val="nil"/>
            </w:tcBorders>
          </w:tcPr>
          <w:p w14:paraId="01E4B764"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3E5C33F2"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(0.00006)</w:t>
            </w:r>
          </w:p>
        </w:tc>
        <w:tc>
          <w:tcPr>
            <w:tcW w:w="1440" w:type="dxa"/>
            <w:tcBorders>
              <w:top w:val="nil"/>
              <w:left w:val="nil"/>
              <w:bottom w:val="nil"/>
              <w:right w:val="nil"/>
            </w:tcBorders>
          </w:tcPr>
          <w:p w14:paraId="7241A2BB"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5B0CCC47"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(0.00005)</w:t>
            </w:r>
          </w:p>
        </w:tc>
        <w:tc>
          <w:tcPr>
            <w:tcW w:w="1440" w:type="dxa"/>
            <w:tcBorders>
              <w:top w:val="nil"/>
              <w:left w:val="nil"/>
              <w:bottom w:val="nil"/>
              <w:right w:val="nil"/>
            </w:tcBorders>
          </w:tcPr>
          <w:p w14:paraId="1505B2D0"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15677B9A" w14:textId="77777777" w:rsidTr="577BF0F5">
        <w:trPr>
          <w:jc w:val="center"/>
        </w:trPr>
        <w:tc>
          <w:tcPr>
            <w:tcW w:w="3675" w:type="dxa"/>
            <w:tcBorders>
              <w:top w:val="nil"/>
              <w:left w:val="nil"/>
              <w:bottom w:val="nil"/>
              <w:right w:val="nil"/>
            </w:tcBorders>
          </w:tcPr>
          <w:p w14:paraId="7FEFC254" w14:textId="77777777" w:rsidR="00F95C56" w:rsidRPr="008A467D" w:rsidRDefault="577BF0F5" w:rsidP="0014174E">
            <w:pPr>
              <w:widowControl w:val="0"/>
              <w:autoSpaceDE w:val="0"/>
              <w:autoSpaceDN w:val="0"/>
              <w:adjustRightInd w:val="0"/>
              <w:rPr>
                <w:sz w:val="22"/>
                <w:szCs w:val="22"/>
              </w:rPr>
            </w:pPr>
            <w:r w:rsidRPr="008A467D">
              <w:rPr>
                <w:sz w:val="22"/>
                <w:szCs w:val="22"/>
              </w:rPr>
              <w:t>rentabilidadActivos</w:t>
            </w:r>
          </w:p>
        </w:tc>
        <w:tc>
          <w:tcPr>
            <w:tcW w:w="1584" w:type="dxa"/>
            <w:tcBorders>
              <w:top w:val="nil"/>
              <w:left w:val="nil"/>
              <w:bottom w:val="nil"/>
              <w:right w:val="nil"/>
            </w:tcBorders>
          </w:tcPr>
          <w:p w14:paraId="2BFF0FE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-0.1941**</w:t>
            </w:r>
          </w:p>
        </w:tc>
        <w:tc>
          <w:tcPr>
            <w:tcW w:w="1440" w:type="dxa"/>
            <w:tcBorders>
              <w:top w:val="nil"/>
              <w:left w:val="nil"/>
              <w:bottom w:val="nil"/>
              <w:right w:val="nil"/>
            </w:tcBorders>
          </w:tcPr>
          <w:p w14:paraId="731195EF"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04B1F88D"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-0.4161***</w:t>
            </w:r>
          </w:p>
        </w:tc>
        <w:tc>
          <w:tcPr>
            <w:tcW w:w="1440" w:type="dxa"/>
            <w:tcBorders>
              <w:top w:val="nil"/>
              <w:left w:val="nil"/>
              <w:bottom w:val="nil"/>
              <w:right w:val="nil"/>
            </w:tcBorders>
          </w:tcPr>
          <w:p w14:paraId="3A98DD1D"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614A5528" w14:textId="77777777" w:rsidTr="577BF0F5">
        <w:trPr>
          <w:jc w:val="center"/>
        </w:trPr>
        <w:tc>
          <w:tcPr>
            <w:tcW w:w="3675" w:type="dxa"/>
            <w:tcBorders>
              <w:top w:val="nil"/>
              <w:left w:val="nil"/>
              <w:bottom w:val="nil"/>
              <w:right w:val="nil"/>
            </w:tcBorders>
          </w:tcPr>
          <w:p w14:paraId="3DFD8329"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419D88EC"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(0.0853)</w:t>
            </w:r>
          </w:p>
        </w:tc>
        <w:tc>
          <w:tcPr>
            <w:tcW w:w="1440" w:type="dxa"/>
            <w:tcBorders>
              <w:top w:val="nil"/>
              <w:left w:val="nil"/>
              <w:bottom w:val="nil"/>
              <w:right w:val="nil"/>
            </w:tcBorders>
          </w:tcPr>
          <w:p w14:paraId="539A9515"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6C562E2D"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(0.0640)</w:t>
            </w:r>
          </w:p>
        </w:tc>
        <w:tc>
          <w:tcPr>
            <w:tcW w:w="1440" w:type="dxa"/>
            <w:tcBorders>
              <w:top w:val="nil"/>
              <w:left w:val="nil"/>
              <w:bottom w:val="nil"/>
              <w:right w:val="nil"/>
            </w:tcBorders>
          </w:tcPr>
          <w:p w14:paraId="41367599"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64622F24" w14:textId="77777777" w:rsidTr="577BF0F5">
        <w:trPr>
          <w:jc w:val="center"/>
        </w:trPr>
        <w:tc>
          <w:tcPr>
            <w:tcW w:w="3675" w:type="dxa"/>
            <w:tcBorders>
              <w:top w:val="nil"/>
              <w:left w:val="nil"/>
              <w:bottom w:val="nil"/>
              <w:right w:val="nil"/>
            </w:tcBorders>
          </w:tcPr>
          <w:p w14:paraId="7BB1D2EB" w14:textId="77777777" w:rsidR="00F95C56" w:rsidRPr="008A467D" w:rsidRDefault="577BF0F5" w:rsidP="0014174E">
            <w:pPr>
              <w:widowControl w:val="0"/>
              <w:autoSpaceDE w:val="0"/>
              <w:autoSpaceDN w:val="0"/>
              <w:adjustRightInd w:val="0"/>
              <w:rPr>
                <w:sz w:val="22"/>
                <w:szCs w:val="22"/>
              </w:rPr>
            </w:pPr>
            <w:r w:rsidRPr="008A467D">
              <w:rPr>
                <w:sz w:val="22"/>
                <w:szCs w:val="22"/>
              </w:rPr>
              <w:t>impuestosDiferidos_M (MM USD)</w:t>
            </w:r>
          </w:p>
        </w:tc>
        <w:tc>
          <w:tcPr>
            <w:tcW w:w="1584" w:type="dxa"/>
            <w:tcBorders>
              <w:top w:val="nil"/>
              <w:left w:val="nil"/>
              <w:bottom w:val="nil"/>
              <w:right w:val="nil"/>
            </w:tcBorders>
          </w:tcPr>
          <w:p w14:paraId="6FF5771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0.00407**</w:t>
            </w:r>
          </w:p>
        </w:tc>
        <w:tc>
          <w:tcPr>
            <w:tcW w:w="1440" w:type="dxa"/>
            <w:tcBorders>
              <w:top w:val="nil"/>
              <w:left w:val="nil"/>
              <w:bottom w:val="nil"/>
              <w:right w:val="nil"/>
            </w:tcBorders>
          </w:tcPr>
          <w:p w14:paraId="36E64841"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3B6EC78C"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0.000199</w:t>
            </w:r>
          </w:p>
        </w:tc>
        <w:tc>
          <w:tcPr>
            <w:tcW w:w="1440" w:type="dxa"/>
            <w:tcBorders>
              <w:top w:val="nil"/>
              <w:left w:val="nil"/>
              <w:bottom w:val="nil"/>
              <w:right w:val="nil"/>
            </w:tcBorders>
          </w:tcPr>
          <w:p w14:paraId="23EA08D9"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22BFFE8C" w14:textId="77777777" w:rsidTr="577BF0F5">
        <w:trPr>
          <w:jc w:val="center"/>
        </w:trPr>
        <w:tc>
          <w:tcPr>
            <w:tcW w:w="3675" w:type="dxa"/>
            <w:tcBorders>
              <w:top w:val="nil"/>
              <w:left w:val="nil"/>
              <w:bottom w:val="nil"/>
              <w:right w:val="nil"/>
            </w:tcBorders>
          </w:tcPr>
          <w:p w14:paraId="25B76EC4"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09212442"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(0.0016)</w:t>
            </w:r>
          </w:p>
        </w:tc>
        <w:tc>
          <w:tcPr>
            <w:tcW w:w="1440" w:type="dxa"/>
            <w:tcBorders>
              <w:top w:val="nil"/>
              <w:left w:val="nil"/>
              <w:bottom w:val="nil"/>
              <w:right w:val="nil"/>
            </w:tcBorders>
          </w:tcPr>
          <w:p w14:paraId="57789D4A"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49370B41"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(0.00186)</w:t>
            </w:r>
          </w:p>
        </w:tc>
        <w:tc>
          <w:tcPr>
            <w:tcW w:w="1440" w:type="dxa"/>
            <w:tcBorders>
              <w:top w:val="nil"/>
              <w:left w:val="nil"/>
              <w:bottom w:val="nil"/>
              <w:right w:val="nil"/>
            </w:tcBorders>
          </w:tcPr>
          <w:p w14:paraId="5FB7A19D"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598CF676" w14:textId="77777777" w:rsidTr="577BF0F5">
        <w:trPr>
          <w:jc w:val="center"/>
        </w:trPr>
        <w:tc>
          <w:tcPr>
            <w:tcW w:w="3675" w:type="dxa"/>
            <w:tcBorders>
              <w:top w:val="nil"/>
              <w:left w:val="nil"/>
              <w:bottom w:val="nil"/>
              <w:right w:val="nil"/>
            </w:tcBorders>
          </w:tcPr>
          <w:p w14:paraId="3A94F3A9" w14:textId="77777777" w:rsidR="00F95C56" w:rsidRPr="008A467D" w:rsidRDefault="577BF0F5" w:rsidP="0014174E">
            <w:pPr>
              <w:widowControl w:val="0"/>
              <w:autoSpaceDE w:val="0"/>
              <w:autoSpaceDN w:val="0"/>
              <w:adjustRightInd w:val="0"/>
              <w:rPr>
                <w:sz w:val="22"/>
                <w:szCs w:val="22"/>
              </w:rPr>
            </w:pPr>
            <w:r w:rsidRPr="008A467D">
              <w:rPr>
                <w:sz w:val="22"/>
                <w:szCs w:val="22"/>
              </w:rPr>
              <w:t>tasaImpuestos</w:t>
            </w:r>
          </w:p>
        </w:tc>
        <w:tc>
          <w:tcPr>
            <w:tcW w:w="1584" w:type="dxa"/>
            <w:tcBorders>
              <w:top w:val="nil"/>
              <w:left w:val="nil"/>
              <w:bottom w:val="nil"/>
              <w:right w:val="nil"/>
            </w:tcBorders>
          </w:tcPr>
          <w:p w14:paraId="7F547A1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-0.0300**</w:t>
            </w:r>
          </w:p>
        </w:tc>
        <w:tc>
          <w:tcPr>
            <w:tcW w:w="1440" w:type="dxa"/>
            <w:tcBorders>
              <w:top w:val="nil"/>
              <w:left w:val="nil"/>
              <w:bottom w:val="nil"/>
              <w:right w:val="nil"/>
            </w:tcBorders>
          </w:tcPr>
          <w:p w14:paraId="66DC2961"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272C5F75"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6C56D09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0.0052*</w:t>
            </w:r>
          </w:p>
        </w:tc>
      </w:tr>
      <w:tr w:rsidR="005E2B72" w:rsidRPr="008A467D" w14:paraId="508DB6B9" w14:textId="77777777" w:rsidTr="577BF0F5">
        <w:trPr>
          <w:jc w:val="center"/>
        </w:trPr>
        <w:tc>
          <w:tcPr>
            <w:tcW w:w="3675" w:type="dxa"/>
            <w:tcBorders>
              <w:top w:val="nil"/>
              <w:left w:val="nil"/>
              <w:bottom w:val="nil"/>
              <w:right w:val="nil"/>
            </w:tcBorders>
          </w:tcPr>
          <w:p w14:paraId="0FD80355"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6D048E0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(0.014)</w:t>
            </w:r>
          </w:p>
        </w:tc>
        <w:tc>
          <w:tcPr>
            <w:tcW w:w="1440" w:type="dxa"/>
            <w:tcBorders>
              <w:top w:val="nil"/>
              <w:left w:val="nil"/>
              <w:bottom w:val="nil"/>
              <w:right w:val="nil"/>
            </w:tcBorders>
          </w:tcPr>
          <w:p w14:paraId="62C95438"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60B0D2AA"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7A8EBA4B"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(0.00307)</w:t>
            </w:r>
          </w:p>
        </w:tc>
      </w:tr>
      <w:tr w:rsidR="005E2B72" w:rsidRPr="008A467D" w14:paraId="4C9F4A69" w14:textId="77777777" w:rsidTr="577BF0F5">
        <w:trPr>
          <w:jc w:val="center"/>
        </w:trPr>
        <w:tc>
          <w:tcPr>
            <w:tcW w:w="3675" w:type="dxa"/>
            <w:tcBorders>
              <w:top w:val="nil"/>
              <w:left w:val="nil"/>
              <w:bottom w:val="nil"/>
              <w:right w:val="nil"/>
            </w:tcBorders>
          </w:tcPr>
          <w:p w14:paraId="67A7AB33" w14:textId="77777777" w:rsidR="00F95C56" w:rsidRPr="008A467D" w:rsidRDefault="577BF0F5" w:rsidP="0014174E">
            <w:pPr>
              <w:widowControl w:val="0"/>
              <w:autoSpaceDE w:val="0"/>
              <w:autoSpaceDN w:val="0"/>
              <w:adjustRightInd w:val="0"/>
              <w:rPr>
                <w:sz w:val="22"/>
                <w:szCs w:val="22"/>
              </w:rPr>
            </w:pPr>
            <w:r w:rsidRPr="008A467D">
              <w:rPr>
                <w:sz w:val="22"/>
                <w:szCs w:val="22"/>
              </w:rPr>
              <w:t>tasaImpuestos5Años</w:t>
            </w:r>
          </w:p>
        </w:tc>
        <w:tc>
          <w:tcPr>
            <w:tcW w:w="1584" w:type="dxa"/>
            <w:tcBorders>
              <w:top w:val="nil"/>
              <w:left w:val="nil"/>
              <w:bottom w:val="nil"/>
              <w:right w:val="nil"/>
            </w:tcBorders>
          </w:tcPr>
          <w:p w14:paraId="265FB51F"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0.1755***</w:t>
            </w:r>
          </w:p>
        </w:tc>
        <w:tc>
          <w:tcPr>
            <w:tcW w:w="1440" w:type="dxa"/>
            <w:tcBorders>
              <w:top w:val="nil"/>
              <w:left w:val="nil"/>
              <w:bottom w:val="nil"/>
              <w:right w:val="nil"/>
            </w:tcBorders>
          </w:tcPr>
          <w:p w14:paraId="40B427D3"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5A68A104"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7AF60EB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-0.02306**</w:t>
            </w:r>
          </w:p>
        </w:tc>
      </w:tr>
      <w:tr w:rsidR="005E2B72" w:rsidRPr="008A467D" w14:paraId="08A0476B" w14:textId="77777777" w:rsidTr="577BF0F5">
        <w:trPr>
          <w:jc w:val="center"/>
        </w:trPr>
        <w:tc>
          <w:tcPr>
            <w:tcW w:w="3675" w:type="dxa"/>
            <w:tcBorders>
              <w:top w:val="nil"/>
              <w:left w:val="nil"/>
              <w:bottom w:val="nil"/>
              <w:right w:val="nil"/>
            </w:tcBorders>
          </w:tcPr>
          <w:p w14:paraId="15F6865F"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2D8DB764"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(0.0504)</w:t>
            </w:r>
          </w:p>
        </w:tc>
        <w:tc>
          <w:tcPr>
            <w:tcW w:w="1440" w:type="dxa"/>
            <w:tcBorders>
              <w:top w:val="nil"/>
              <w:left w:val="nil"/>
              <w:bottom w:val="nil"/>
              <w:right w:val="nil"/>
            </w:tcBorders>
          </w:tcPr>
          <w:p w14:paraId="30C138BE"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7FAA9A73"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4EF42E47"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(0.0112)</w:t>
            </w:r>
          </w:p>
        </w:tc>
      </w:tr>
      <w:tr w:rsidR="005E2B72" w:rsidRPr="008A467D" w14:paraId="05FBDBFF" w14:textId="77777777" w:rsidTr="577BF0F5">
        <w:trPr>
          <w:jc w:val="center"/>
        </w:trPr>
        <w:tc>
          <w:tcPr>
            <w:tcW w:w="3675" w:type="dxa"/>
            <w:tcBorders>
              <w:top w:val="nil"/>
              <w:left w:val="nil"/>
              <w:bottom w:val="nil"/>
              <w:right w:val="nil"/>
            </w:tcBorders>
          </w:tcPr>
          <w:p w14:paraId="07E07D63" w14:textId="77777777" w:rsidR="00F95C56" w:rsidRPr="008A467D" w:rsidRDefault="577BF0F5" w:rsidP="0014174E">
            <w:pPr>
              <w:widowControl w:val="0"/>
              <w:autoSpaceDE w:val="0"/>
              <w:autoSpaceDN w:val="0"/>
              <w:adjustRightInd w:val="0"/>
              <w:rPr>
                <w:sz w:val="22"/>
                <w:szCs w:val="22"/>
              </w:rPr>
            </w:pPr>
            <w:r w:rsidRPr="008A467D">
              <w:rPr>
                <w:sz w:val="22"/>
                <w:szCs w:val="22"/>
              </w:rPr>
              <w:t>deudaExterna_M (MM USD)</w:t>
            </w:r>
          </w:p>
        </w:tc>
        <w:tc>
          <w:tcPr>
            <w:tcW w:w="1584" w:type="dxa"/>
            <w:tcBorders>
              <w:top w:val="nil"/>
              <w:left w:val="nil"/>
              <w:bottom w:val="nil"/>
              <w:right w:val="nil"/>
            </w:tcBorders>
          </w:tcPr>
          <w:p w14:paraId="4A36E434"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0.1100</w:t>
            </w:r>
          </w:p>
        </w:tc>
        <w:tc>
          <w:tcPr>
            <w:tcW w:w="1440" w:type="dxa"/>
            <w:tcBorders>
              <w:top w:val="nil"/>
              <w:left w:val="nil"/>
              <w:bottom w:val="nil"/>
              <w:right w:val="nil"/>
            </w:tcBorders>
          </w:tcPr>
          <w:p w14:paraId="36DD834C"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6B02BD5E"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6327B948"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-0.00408</w:t>
            </w:r>
          </w:p>
        </w:tc>
      </w:tr>
      <w:tr w:rsidR="005E2B72" w:rsidRPr="008A467D" w14:paraId="0D736F54" w14:textId="77777777" w:rsidTr="577BF0F5">
        <w:trPr>
          <w:jc w:val="center"/>
        </w:trPr>
        <w:tc>
          <w:tcPr>
            <w:tcW w:w="3675" w:type="dxa"/>
            <w:tcBorders>
              <w:top w:val="nil"/>
              <w:left w:val="nil"/>
              <w:bottom w:val="nil"/>
              <w:right w:val="nil"/>
            </w:tcBorders>
          </w:tcPr>
          <w:p w14:paraId="2A337B23"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1407BBB8"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(0.0699)</w:t>
            </w:r>
          </w:p>
        </w:tc>
        <w:tc>
          <w:tcPr>
            <w:tcW w:w="1440" w:type="dxa"/>
            <w:tcBorders>
              <w:top w:val="nil"/>
              <w:left w:val="nil"/>
              <w:bottom w:val="nil"/>
              <w:right w:val="nil"/>
            </w:tcBorders>
          </w:tcPr>
          <w:p w14:paraId="07B938B2"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67C0B6A4"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672B915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(0.0411)</w:t>
            </w:r>
          </w:p>
        </w:tc>
      </w:tr>
      <w:tr w:rsidR="005E2B72" w:rsidRPr="008A467D" w14:paraId="42DEFF1C" w14:textId="77777777" w:rsidTr="577BF0F5">
        <w:trPr>
          <w:jc w:val="center"/>
        </w:trPr>
        <w:tc>
          <w:tcPr>
            <w:tcW w:w="3675" w:type="dxa"/>
            <w:tcBorders>
              <w:top w:val="nil"/>
              <w:left w:val="nil"/>
              <w:bottom w:val="nil"/>
              <w:right w:val="nil"/>
            </w:tcBorders>
          </w:tcPr>
          <w:p w14:paraId="2082B040" w14:textId="77777777" w:rsidR="00F95C56" w:rsidRPr="008A467D" w:rsidRDefault="577BF0F5" w:rsidP="0014174E">
            <w:pPr>
              <w:widowControl w:val="0"/>
              <w:autoSpaceDE w:val="0"/>
              <w:autoSpaceDN w:val="0"/>
              <w:adjustRightInd w:val="0"/>
              <w:rPr>
                <w:sz w:val="22"/>
                <w:szCs w:val="22"/>
              </w:rPr>
            </w:pPr>
            <w:r w:rsidRPr="008A467D">
              <w:rPr>
                <w:sz w:val="22"/>
                <w:szCs w:val="22"/>
              </w:rPr>
              <w:t>deudaInterna_M (MM USD)</w:t>
            </w:r>
          </w:p>
        </w:tc>
        <w:tc>
          <w:tcPr>
            <w:tcW w:w="1584" w:type="dxa"/>
            <w:tcBorders>
              <w:top w:val="nil"/>
              <w:left w:val="nil"/>
              <w:bottom w:val="nil"/>
              <w:right w:val="nil"/>
            </w:tcBorders>
          </w:tcPr>
          <w:p w14:paraId="50B04CB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0.0323</w:t>
            </w:r>
          </w:p>
        </w:tc>
        <w:tc>
          <w:tcPr>
            <w:tcW w:w="1440" w:type="dxa"/>
            <w:tcBorders>
              <w:top w:val="nil"/>
              <w:left w:val="nil"/>
              <w:bottom w:val="nil"/>
              <w:right w:val="nil"/>
            </w:tcBorders>
          </w:tcPr>
          <w:p w14:paraId="167BA435"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205740AD"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4E58E1E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0.0733***</w:t>
            </w:r>
          </w:p>
        </w:tc>
      </w:tr>
      <w:tr w:rsidR="005E2B72" w:rsidRPr="008A467D" w14:paraId="5489B0CD" w14:textId="77777777" w:rsidTr="577BF0F5">
        <w:trPr>
          <w:jc w:val="center"/>
        </w:trPr>
        <w:tc>
          <w:tcPr>
            <w:tcW w:w="3675" w:type="dxa"/>
            <w:tcBorders>
              <w:top w:val="nil"/>
              <w:left w:val="nil"/>
              <w:bottom w:val="nil"/>
              <w:right w:val="nil"/>
            </w:tcBorders>
          </w:tcPr>
          <w:p w14:paraId="7FEDA4BE"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5AD6097A"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(0.0476)</w:t>
            </w:r>
          </w:p>
        </w:tc>
        <w:tc>
          <w:tcPr>
            <w:tcW w:w="1440" w:type="dxa"/>
            <w:tcBorders>
              <w:top w:val="nil"/>
              <w:left w:val="nil"/>
              <w:bottom w:val="nil"/>
              <w:right w:val="nil"/>
            </w:tcBorders>
          </w:tcPr>
          <w:p w14:paraId="60368248"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2630F2C1"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3EDD8D7C"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(0.0265)</w:t>
            </w:r>
          </w:p>
        </w:tc>
      </w:tr>
      <w:tr w:rsidR="005E2B72" w:rsidRPr="008A467D" w14:paraId="19412FCC" w14:textId="77777777" w:rsidTr="577BF0F5">
        <w:trPr>
          <w:jc w:val="center"/>
        </w:trPr>
        <w:tc>
          <w:tcPr>
            <w:tcW w:w="3675" w:type="dxa"/>
            <w:tcBorders>
              <w:top w:val="nil"/>
              <w:left w:val="nil"/>
              <w:bottom w:val="nil"/>
              <w:right w:val="nil"/>
            </w:tcBorders>
          </w:tcPr>
          <w:p w14:paraId="415091BF" w14:textId="77777777" w:rsidR="00F95C56" w:rsidRPr="008A467D" w:rsidRDefault="577BF0F5" w:rsidP="0014174E">
            <w:pPr>
              <w:widowControl w:val="0"/>
              <w:autoSpaceDE w:val="0"/>
              <w:autoSpaceDN w:val="0"/>
              <w:adjustRightInd w:val="0"/>
              <w:rPr>
                <w:sz w:val="22"/>
                <w:szCs w:val="22"/>
              </w:rPr>
            </w:pPr>
            <w:r w:rsidRPr="008A467D">
              <w:rPr>
                <w:sz w:val="22"/>
                <w:szCs w:val="22"/>
              </w:rPr>
              <w:lastRenderedPageBreak/>
              <w:t>pibSector_M (MM USD)</w:t>
            </w:r>
          </w:p>
        </w:tc>
        <w:tc>
          <w:tcPr>
            <w:tcW w:w="1584" w:type="dxa"/>
            <w:tcBorders>
              <w:top w:val="nil"/>
              <w:left w:val="nil"/>
              <w:bottom w:val="nil"/>
              <w:right w:val="nil"/>
            </w:tcBorders>
          </w:tcPr>
          <w:p w14:paraId="4AF42E18"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0.0004</w:t>
            </w:r>
          </w:p>
        </w:tc>
        <w:tc>
          <w:tcPr>
            <w:tcW w:w="1440" w:type="dxa"/>
            <w:tcBorders>
              <w:top w:val="nil"/>
              <w:left w:val="nil"/>
              <w:bottom w:val="nil"/>
              <w:right w:val="nil"/>
            </w:tcBorders>
          </w:tcPr>
          <w:p w14:paraId="1499232A"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51E6D0EF"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1EEA3007"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0.01922</w:t>
            </w:r>
          </w:p>
        </w:tc>
      </w:tr>
      <w:tr w:rsidR="005E2B72" w:rsidRPr="008A467D" w14:paraId="0C6E9292" w14:textId="77777777" w:rsidTr="577BF0F5">
        <w:trPr>
          <w:jc w:val="center"/>
        </w:trPr>
        <w:tc>
          <w:tcPr>
            <w:tcW w:w="3675" w:type="dxa"/>
            <w:tcBorders>
              <w:top w:val="nil"/>
              <w:left w:val="nil"/>
              <w:bottom w:val="nil"/>
              <w:right w:val="nil"/>
            </w:tcBorders>
          </w:tcPr>
          <w:p w14:paraId="74D361E0"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6C5EB42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(0.0431)</w:t>
            </w:r>
          </w:p>
        </w:tc>
        <w:tc>
          <w:tcPr>
            <w:tcW w:w="1440" w:type="dxa"/>
            <w:tcBorders>
              <w:top w:val="nil"/>
              <w:left w:val="nil"/>
              <w:bottom w:val="nil"/>
              <w:right w:val="nil"/>
            </w:tcBorders>
          </w:tcPr>
          <w:p w14:paraId="0831233E"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6021BF7D"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nil"/>
              <w:right w:val="nil"/>
            </w:tcBorders>
          </w:tcPr>
          <w:p w14:paraId="09BC0092"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(0.0178)</w:t>
            </w:r>
          </w:p>
        </w:tc>
      </w:tr>
      <w:tr w:rsidR="005E2B72" w:rsidRPr="008A467D" w14:paraId="705018E6" w14:textId="77777777" w:rsidTr="577BF0F5">
        <w:trPr>
          <w:jc w:val="center"/>
        </w:trPr>
        <w:tc>
          <w:tcPr>
            <w:tcW w:w="3675" w:type="dxa"/>
            <w:tcBorders>
              <w:top w:val="nil"/>
              <w:left w:val="nil"/>
              <w:bottom w:val="nil"/>
              <w:right w:val="nil"/>
            </w:tcBorders>
          </w:tcPr>
          <w:p w14:paraId="08F9A0FE" w14:textId="77777777" w:rsidR="00F95C56" w:rsidRPr="008A467D" w:rsidRDefault="577BF0F5" w:rsidP="0014174E">
            <w:pPr>
              <w:widowControl w:val="0"/>
              <w:autoSpaceDE w:val="0"/>
              <w:autoSpaceDN w:val="0"/>
              <w:adjustRightInd w:val="0"/>
              <w:rPr>
                <w:sz w:val="22"/>
                <w:szCs w:val="22"/>
              </w:rPr>
            </w:pPr>
            <w:r w:rsidRPr="008A467D">
              <w:rPr>
                <w:sz w:val="22"/>
                <w:szCs w:val="22"/>
              </w:rPr>
              <w:t>roa2</w:t>
            </w:r>
          </w:p>
        </w:tc>
        <w:tc>
          <w:tcPr>
            <w:tcW w:w="1584" w:type="dxa"/>
            <w:tcBorders>
              <w:top w:val="nil"/>
              <w:left w:val="nil"/>
              <w:bottom w:val="nil"/>
              <w:right w:val="nil"/>
            </w:tcBorders>
          </w:tcPr>
          <w:p w14:paraId="6BA1DB5B"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-10.690</w:t>
            </w:r>
          </w:p>
        </w:tc>
        <w:tc>
          <w:tcPr>
            <w:tcW w:w="1440" w:type="dxa"/>
            <w:tcBorders>
              <w:top w:val="nil"/>
              <w:left w:val="nil"/>
              <w:bottom w:val="nil"/>
              <w:right w:val="nil"/>
            </w:tcBorders>
          </w:tcPr>
          <w:p w14:paraId="3B691CE8"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4A86CB0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-12.369</w:t>
            </w:r>
          </w:p>
        </w:tc>
        <w:tc>
          <w:tcPr>
            <w:tcW w:w="1440" w:type="dxa"/>
            <w:tcBorders>
              <w:top w:val="nil"/>
              <w:left w:val="nil"/>
              <w:bottom w:val="nil"/>
              <w:right w:val="nil"/>
            </w:tcBorders>
          </w:tcPr>
          <w:p w14:paraId="30275762"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317EAF71" w14:textId="77777777" w:rsidTr="577BF0F5">
        <w:trPr>
          <w:jc w:val="center"/>
        </w:trPr>
        <w:tc>
          <w:tcPr>
            <w:tcW w:w="3675" w:type="dxa"/>
            <w:tcBorders>
              <w:top w:val="nil"/>
              <w:left w:val="nil"/>
              <w:bottom w:val="nil"/>
              <w:right w:val="nil"/>
            </w:tcBorders>
          </w:tcPr>
          <w:p w14:paraId="4BD828A3"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3E9BE36F"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(11.117)</w:t>
            </w:r>
          </w:p>
        </w:tc>
        <w:tc>
          <w:tcPr>
            <w:tcW w:w="1440" w:type="dxa"/>
            <w:tcBorders>
              <w:top w:val="nil"/>
              <w:left w:val="nil"/>
              <w:bottom w:val="nil"/>
              <w:right w:val="nil"/>
            </w:tcBorders>
          </w:tcPr>
          <w:p w14:paraId="7D70FA94"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7249F72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(9.345)</w:t>
            </w:r>
          </w:p>
        </w:tc>
        <w:tc>
          <w:tcPr>
            <w:tcW w:w="1440" w:type="dxa"/>
            <w:tcBorders>
              <w:top w:val="nil"/>
              <w:left w:val="nil"/>
              <w:bottom w:val="nil"/>
              <w:right w:val="nil"/>
            </w:tcBorders>
          </w:tcPr>
          <w:p w14:paraId="1A9A6E1B"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4F188054" w14:textId="77777777" w:rsidTr="577BF0F5">
        <w:trPr>
          <w:jc w:val="center"/>
        </w:trPr>
        <w:tc>
          <w:tcPr>
            <w:tcW w:w="3675" w:type="dxa"/>
            <w:tcBorders>
              <w:top w:val="nil"/>
              <w:left w:val="nil"/>
              <w:bottom w:val="nil"/>
              <w:right w:val="nil"/>
            </w:tcBorders>
          </w:tcPr>
          <w:p w14:paraId="641D4D47" w14:textId="77777777" w:rsidR="00F95C56" w:rsidRPr="008A467D" w:rsidRDefault="577BF0F5" w:rsidP="0014174E">
            <w:pPr>
              <w:widowControl w:val="0"/>
              <w:autoSpaceDE w:val="0"/>
              <w:autoSpaceDN w:val="0"/>
              <w:adjustRightInd w:val="0"/>
              <w:rPr>
                <w:sz w:val="22"/>
                <w:szCs w:val="22"/>
              </w:rPr>
            </w:pPr>
            <w:r w:rsidRPr="008A467D">
              <w:rPr>
                <w:sz w:val="22"/>
                <w:szCs w:val="22"/>
              </w:rPr>
              <w:t>Lagroe</w:t>
            </w:r>
          </w:p>
        </w:tc>
        <w:tc>
          <w:tcPr>
            <w:tcW w:w="1584" w:type="dxa"/>
            <w:tcBorders>
              <w:top w:val="nil"/>
              <w:left w:val="nil"/>
              <w:bottom w:val="nil"/>
              <w:right w:val="nil"/>
            </w:tcBorders>
          </w:tcPr>
          <w:p w14:paraId="532A84B8"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0.071</w:t>
            </w:r>
          </w:p>
        </w:tc>
        <w:tc>
          <w:tcPr>
            <w:tcW w:w="1440" w:type="dxa"/>
            <w:tcBorders>
              <w:top w:val="nil"/>
              <w:left w:val="nil"/>
              <w:bottom w:val="nil"/>
              <w:right w:val="nil"/>
            </w:tcBorders>
          </w:tcPr>
          <w:p w14:paraId="21325E36"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24550F84"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0.1864***</w:t>
            </w:r>
          </w:p>
        </w:tc>
        <w:tc>
          <w:tcPr>
            <w:tcW w:w="1440" w:type="dxa"/>
            <w:tcBorders>
              <w:top w:val="nil"/>
              <w:left w:val="nil"/>
              <w:bottom w:val="nil"/>
              <w:right w:val="nil"/>
            </w:tcBorders>
          </w:tcPr>
          <w:p w14:paraId="6E4102E2"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1E8DF9C0" w14:textId="77777777" w:rsidTr="577BF0F5">
        <w:trPr>
          <w:jc w:val="center"/>
        </w:trPr>
        <w:tc>
          <w:tcPr>
            <w:tcW w:w="3675" w:type="dxa"/>
            <w:tcBorders>
              <w:top w:val="nil"/>
              <w:left w:val="nil"/>
              <w:bottom w:val="nil"/>
              <w:right w:val="nil"/>
            </w:tcBorders>
          </w:tcPr>
          <w:p w14:paraId="79FFE377"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68C63AF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(0.0479)</w:t>
            </w:r>
          </w:p>
        </w:tc>
        <w:tc>
          <w:tcPr>
            <w:tcW w:w="1440" w:type="dxa"/>
            <w:tcBorders>
              <w:top w:val="nil"/>
              <w:left w:val="nil"/>
              <w:bottom w:val="nil"/>
              <w:right w:val="nil"/>
            </w:tcBorders>
          </w:tcPr>
          <w:p w14:paraId="17D14E48"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53B4E23E"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(0.0207)</w:t>
            </w:r>
          </w:p>
        </w:tc>
        <w:tc>
          <w:tcPr>
            <w:tcW w:w="1440" w:type="dxa"/>
            <w:tcBorders>
              <w:top w:val="nil"/>
              <w:left w:val="nil"/>
              <w:bottom w:val="nil"/>
              <w:right w:val="nil"/>
            </w:tcBorders>
          </w:tcPr>
          <w:p w14:paraId="5D58464E"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656997E2" w14:textId="77777777" w:rsidTr="577BF0F5">
        <w:trPr>
          <w:jc w:val="center"/>
        </w:trPr>
        <w:tc>
          <w:tcPr>
            <w:tcW w:w="3675" w:type="dxa"/>
            <w:tcBorders>
              <w:top w:val="nil"/>
              <w:left w:val="nil"/>
              <w:bottom w:val="nil"/>
              <w:right w:val="nil"/>
            </w:tcBorders>
          </w:tcPr>
          <w:p w14:paraId="47B3054E" w14:textId="77777777" w:rsidR="00F95C56" w:rsidRPr="008A467D" w:rsidRDefault="577BF0F5" w:rsidP="0014174E">
            <w:pPr>
              <w:widowControl w:val="0"/>
              <w:autoSpaceDE w:val="0"/>
              <w:autoSpaceDN w:val="0"/>
              <w:adjustRightInd w:val="0"/>
              <w:rPr>
                <w:sz w:val="22"/>
                <w:szCs w:val="22"/>
              </w:rPr>
            </w:pPr>
            <w:r w:rsidRPr="008A467D">
              <w:rPr>
                <w:sz w:val="22"/>
                <w:szCs w:val="22"/>
              </w:rPr>
              <w:t>escudo_fiscal</w:t>
            </w:r>
          </w:p>
        </w:tc>
        <w:tc>
          <w:tcPr>
            <w:tcW w:w="1584" w:type="dxa"/>
            <w:tcBorders>
              <w:top w:val="nil"/>
              <w:left w:val="nil"/>
              <w:bottom w:val="nil"/>
              <w:right w:val="nil"/>
            </w:tcBorders>
          </w:tcPr>
          <w:p w14:paraId="39DF50E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-0.0257***</w:t>
            </w:r>
          </w:p>
        </w:tc>
        <w:tc>
          <w:tcPr>
            <w:tcW w:w="1440" w:type="dxa"/>
            <w:tcBorders>
              <w:top w:val="nil"/>
              <w:left w:val="nil"/>
              <w:bottom w:val="nil"/>
              <w:right w:val="nil"/>
            </w:tcBorders>
          </w:tcPr>
          <w:p w14:paraId="472FD0BD"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1067B13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-0.0279***</w:t>
            </w:r>
          </w:p>
        </w:tc>
        <w:tc>
          <w:tcPr>
            <w:tcW w:w="1440" w:type="dxa"/>
            <w:tcBorders>
              <w:top w:val="nil"/>
              <w:left w:val="nil"/>
              <w:bottom w:val="nil"/>
              <w:right w:val="nil"/>
            </w:tcBorders>
          </w:tcPr>
          <w:p w14:paraId="75053FB2"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00D56246" w14:textId="77777777" w:rsidTr="00216293">
        <w:trPr>
          <w:trHeight w:val="583"/>
          <w:jc w:val="center"/>
        </w:trPr>
        <w:tc>
          <w:tcPr>
            <w:tcW w:w="3675" w:type="dxa"/>
            <w:tcBorders>
              <w:top w:val="nil"/>
              <w:left w:val="nil"/>
              <w:bottom w:val="nil"/>
              <w:right w:val="nil"/>
            </w:tcBorders>
          </w:tcPr>
          <w:p w14:paraId="1EF49BA2"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29036A3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(0.0090)</w:t>
            </w:r>
          </w:p>
        </w:tc>
        <w:tc>
          <w:tcPr>
            <w:tcW w:w="1440" w:type="dxa"/>
            <w:tcBorders>
              <w:top w:val="nil"/>
              <w:left w:val="nil"/>
              <w:bottom w:val="nil"/>
              <w:right w:val="nil"/>
            </w:tcBorders>
          </w:tcPr>
          <w:p w14:paraId="030ED46B"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nil"/>
              <w:right w:val="nil"/>
            </w:tcBorders>
          </w:tcPr>
          <w:p w14:paraId="6AF7B9D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(0.0101)</w:t>
            </w:r>
          </w:p>
        </w:tc>
        <w:tc>
          <w:tcPr>
            <w:tcW w:w="1440" w:type="dxa"/>
            <w:tcBorders>
              <w:top w:val="nil"/>
              <w:left w:val="nil"/>
              <w:bottom w:val="nil"/>
              <w:right w:val="nil"/>
            </w:tcBorders>
          </w:tcPr>
          <w:p w14:paraId="3CA0D342"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70A9427D" w14:textId="77777777" w:rsidTr="577BF0F5">
        <w:trPr>
          <w:jc w:val="center"/>
        </w:trPr>
        <w:tc>
          <w:tcPr>
            <w:tcW w:w="3675" w:type="dxa"/>
            <w:tcBorders>
              <w:top w:val="nil"/>
              <w:left w:val="nil"/>
              <w:bottom w:val="nil"/>
              <w:right w:val="nil"/>
            </w:tcBorders>
          </w:tcPr>
          <w:p w14:paraId="1527BBFF" w14:textId="26538F95" w:rsidR="00F95C56" w:rsidRPr="008A467D" w:rsidRDefault="00407B2D" w:rsidP="0014174E">
            <w:pPr>
              <w:widowControl w:val="0"/>
              <w:autoSpaceDE w:val="0"/>
              <w:autoSpaceDN w:val="0"/>
              <w:adjustRightInd w:val="0"/>
              <w:rPr>
                <w:sz w:val="22"/>
                <w:szCs w:val="22"/>
              </w:rPr>
            </w:pPr>
            <w:r>
              <w:rPr>
                <w:sz w:val="22"/>
                <w:szCs w:val="22"/>
              </w:rPr>
              <w:t>País</w:t>
            </w:r>
          </w:p>
        </w:tc>
        <w:tc>
          <w:tcPr>
            <w:tcW w:w="1584" w:type="dxa"/>
            <w:tcBorders>
              <w:top w:val="nil"/>
              <w:left w:val="nil"/>
              <w:bottom w:val="nil"/>
              <w:right w:val="nil"/>
            </w:tcBorders>
          </w:tcPr>
          <w:p w14:paraId="3063F1B1"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6.907</w:t>
            </w:r>
          </w:p>
        </w:tc>
        <w:tc>
          <w:tcPr>
            <w:tcW w:w="1440" w:type="dxa"/>
            <w:tcBorders>
              <w:top w:val="nil"/>
              <w:left w:val="nil"/>
              <w:bottom w:val="nil"/>
              <w:right w:val="nil"/>
            </w:tcBorders>
          </w:tcPr>
          <w:p w14:paraId="053BE04B"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-6.053**</w:t>
            </w:r>
          </w:p>
        </w:tc>
        <w:tc>
          <w:tcPr>
            <w:tcW w:w="1584" w:type="dxa"/>
            <w:tcBorders>
              <w:top w:val="nil"/>
              <w:left w:val="nil"/>
              <w:bottom w:val="nil"/>
              <w:right w:val="nil"/>
            </w:tcBorders>
          </w:tcPr>
          <w:p w14:paraId="651855ED"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-3.0845</w:t>
            </w:r>
          </w:p>
        </w:tc>
        <w:tc>
          <w:tcPr>
            <w:tcW w:w="1440" w:type="dxa"/>
            <w:tcBorders>
              <w:top w:val="nil"/>
              <w:left w:val="nil"/>
              <w:bottom w:val="nil"/>
              <w:right w:val="nil"/>
            </w:tcBorders>
          </w:tcPr>
          <w:p w14:paraId="71A561E3"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-9.2743</w:t>
            </w:r>
          </w:p>
        </w:tc>
      </w:tr>
      <w:tr w:rsidR="005E2B72" w:rsidRPr="008A467D" w14:paraId="74DE00D3" w14:textId="77777777" w:rsidTr="577BF0F5">
        <w:trPr>
          <w:jc w:val="center"/>
        </w:trPr>
        <w:tc>
          <w:tcPr>
            <w:tcW w:w="3675" w:type="dxa"/>
            <w:tcBorders>
              <w:top w:val="nil"/>
              <w:left w:val="nil"/>
              <w:bottom w:val="nil"/>
              <w:right w:val="nil"/>
            </w:tcBorders>
          </w:tcPr>
          <w:p w14:paraId="2868AD86"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nil"/>
              <w:right w:val="nil"/>
            </w:tcBorders>
          </w:tcPr>
          <w:p w14:paraId="52D5A7C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(10.481)</w:t>
            </w:r>
          </w:p>
        </w:tc>
        <w:tc>
          <w:tcPr>
            <w:tcW w:w="1440" w:type="dxa"/>
            <w:tcBorders>
              <w:top w:val="nil"/>
              <w:left w:val="nil"/>
              <w:bottom w:val="nil"/>
              <w:right w:val="nil"/>
            </w:tcBorders>
          </w:tcPr>
          <w:p w14:paraId="699141D2"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(3.055)</w:t>
            </w:r>
          </w:p>
        </w:tc>
        <w:tc>
          <w:tcPr>
            <w:tcW w:w="1584" w:type="dxa"/>
            <w:tcBorders>
              <w:top w:val="nil"/>
              <w:left w:val="nil"/>
              <w:bottom w:val="nil"/>
              <w:right w:val="nil"/>
            </w:tcBorders>
          </w:tcPr>
          <w:p w14:paraId="049703AA"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(3.777)</w:t>
            </w:r>
          </w:p>
        </w:tc>
        <w:tc>
          <w:tcPr>
            <w:tcW w:w="1440" w:type="dxa"/>
            <w:tcBorders>
              <w:top w:val="nil"/>
              <w:left w:val="nil"/>
              <w:bottom w:val="nil"/>
              <w:right w:val="nil"/>
            </w:tcBorders>
          </w:tcPr>
          <w:p w14:paraId="3074333A"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(6.421)</w:t>
            </w:r>
          </w:p>
        </w:tc>
      </w:tr>
      <w:tr w:rsidR="005E2B72" w:rsidRPr="008A467D" w14:paraId="6CE3A385" w14:textId="77777777" w:rsidTr="577BF0F5">
        <w:trPr>
          <w:jc w:val="center"/>
        </w:trPr>
        <w:tc>
          <w:tcPr>
            <w:tcW w:w="3675" w:type="dxa"/>
            <w:tcBorders>
              <w:top w:val="nil"/>
              <w:left w:val="nil"/>
              <w:bottom w:val="nil"/>
              <w:right w:val="nil"/>
            </w:tcBorders>
          </w:tcPr>
          <w:p w14:paraId="03D286CF" w14:textId="6EB81BA5" w:rsidR="00F95C56" w:rsidRPr="008A467D" w:rsidRDefault="577BF0F5" w:rsidP="0014174E">
            <w:pPr>
              <w:widowControl w:val="0"/>
              <w:autoSpaceDE w:val="0"/>
              <w:autoSpaceDN w:val="0"/>
              <w:adjustRightInd w:val="0"/>
              <w:rPr>
                <w:sz w:val="22"/>
                <w:szCs w:val="22"/>
              </w:rPr>
            </w:pPr>
            <w:r w:rsidRPr="008A467D">
              <w:rPr>
                <w:sz w:val="22"/>
                <w:szCs w:val="22"/>
              </w:rPr>
              <w:t>Constant</w:t>
            </w:r>
            <w:r w:rsidR="00407B2D">
              <w:rPr>
                <w:sz w:val="22"/>
                <w:szCs w:val="22"/>
              </w:rPr>
              <w:t>e</w:t>
            </w:r>
          </w:p>
        </w:tc>
        <w:tc>
          <w:tcPr>
            <w:tcW w:w="1584" w:type="dxa"/>
            <w:tcBorders>
              <w:top w:val="nil"/>
              <w:left w:val="nil"/>
              <w:bottom w:val="nil"/>
              <w:right w:val="nil"/>
            </w:tcBorders>
          </w:tcPr>
          <w:p w14:paraId="3E8A52E5"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8.088</w:t>
            </w:r>
          </w:p>
        </w:tc>
        <w:tc>
          <w:tcPr>
            <w:tcW w:w="1440" w:type="dxa"/>
            <w:tcBorders>
              <w:top w:val="nil"/>
              <w:left w:val="nil"/>
              <w:bottom w:val="nil"/>
              <w:right w:val="nil"/>
            </w:tcBorders>
          </w:tcPr>
          <w:p w14:paraId="5B9AEEA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29.03***</w:t>
            </w:r>
          </w:p>
        </w:tc>
        <w:tc>
          <w:tcPr>
            <w:tcW w:w="1584" w:type="dxa"/>
            <w:tcBorders>
              <w:top w:val="nil"/>
              <w:left w:val="nil"/>
              <w:bottom w:val="nil"/>
              <w:right w:val="nil"/>
            </w:tcBorders>
          </w:tcPr>
          <w:p w14:paraId="61C2B092"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35.808***</w:t>
            </w:r>
          </w:p>
        </w:tc>
        <w:tc>
          <w:tcPr>
            <w:tcW w:w="1440" w:type="dxa"/>
            <w:tcBorders>
              <w:top w:val="nil"/>
              <w:left w:val="nil"/>
              <w:bottom w:val="nil"/>
              <w:right w:val="nil"/>
            </w:tcBorders>
          </w:tcPr>
          <w:p w14:paraId="04FCAF74"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 xml:space="preserve">  21.87***</w:t>
            </w:r>
          </w:p>
        </w:tc>
      </w:tr>
      <w:tr w:rsidR="005E2B72" w:rsidRPr="008A467D" w14:paraId="29E7A07A" w14:textId="77777777" w:rsidTr="577BF0F5">
        <w:trPr>
          <w:jc w:val="center"/>
        </w:trPr>
        <w:tc>
          <w:tcPr>
            <w:tcW w:w="3675" w:type="dxa"/>
            <w:tcBorders>
              <w:top w:val="nil"/>
              <w:left w:val="nil"/>
              <w:right w:val="nil"/>
            </w:tcBorders>
          </w:tcPr>
          <w:p w14:paraId="74050FDD"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right w:val="nil"/>
            </w:tcBorders>
          </w:tcPr>
          <w:p w14:paraId="013E7684"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(9.050)</w:t>
            </w:r>
          </w:p>
        </w:tc>
        <w:tc>
          <w:tcPr>
            <w:tcW w:w="1440" w:type="dxa"/>
            <w:tcBorders>
              <w:top w:val="nil"/>
              <w:left w:val="nil"/>
              <w:right w:val="nil"/>
            </w:tcBorders>
          </w:tcPr>
          <w:p w14:paraId="545568B7"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(2.117)</w:t>
            </w:r>
          </w:p>
        </w:tc>
        <w:tc>
          <w:tcPr>
            <w:tcW w:w="1584" w:type="dxa"/>
            <w:tcBorders>
              <w:top w:val="nil"/>
              <w:left w:val="nil"/>
              <w:right w:val="nil"/>
            </w:tcBorders>
          </w:tcPr>
          <w:p w14:paraId="6B9F084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(2.654)</w:t>
            </w:r>
          </w:p>
        </w:tc>
        <w:tc>
          <w:tcPr>
            <w:tcW w:w="1440" w:type="dxa"/>
            <w:tcBorders>
              <w:top w:val="nil"/>
              <w:left w:val="nil"/>
              <w:right w:val="nil"/>
            </w:tcBorders>
          </w:tcPr>
          <w:p w14:paraId="4F0C676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(5.348)</w:t>
            </w:r>
          </w:p>
        </w:tc>
      </w:tr>
      <w:tr w:rsidR="005E2B72" w:rsidRPr="008A467D" w14:paraId="56CFF9C9" w14:textId="77777777" w:rsidTr="577BF0F5">
        <w:trPr>
          <w:jc w:val="center"/>
        </w:trPr>
        <w:tc>
          <w:tcPr>
            <w:tcW w:w="3675" w:type="dxa"/>
            <w:tcBorders>
              <w:top w:val="nil"/>
              <w:left w:val="nil"/>
              <w:bottom w:val="single" w:sz="4" w:space="0" w:color="auto"/>
              <w:right w:val="nil"/>
            </w:tcBorders>
          </w:tcPr>
          <w:p w14:paraId="36043BCB" w14:textId="77777777" w:rsidR="00F95C56" w:rsidRPr="008A467D" w:rsidRDefault="00F95C56" w:rsidP="0014174E">
            <w:pPr>
              <w:widowControl w:val="0"/>
              <w:autoSpaceDE w:val="0"/>
              <w:autoSpaceDN w:val="0"/>
              <w:adjustRightInd w:val="0"/>
              <w:rPr>
                <w:sz w:val="22"/>
                <w:szCs w:val="22"/>
              </w:rPr>
            </w:pPr>
          </w:p>
        </w:tc>
        <w:tc>
          <w:tcPr>
            <w:tcW w:w="1584" w:type="dxa"/>
            <w:tcBorders>
              <w:top w:val="nil"/>
              <w:left w:val="nil"/>
              <w:bottom w:val="single" w:sz="4" w:space="0" w:color="auto"/>
              <w:right w:val="nil"/>
            </w:tcBorders>
          </w:tcPr>
          <w:p w14:paraId="5B769B8F"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single" w:sz="4" w:space="0" w:color="auto"/>
              <w:right w:val="nil"/>
            </w:tcBorders>
          </w:tcPr>
          <w:p w14:paraId="703A9B5B" w14:textId="77777777" w:rsidR="00F95C56" w:rsidRPr="008A467D" w:rsidRDefault="00F95C56" w:rsidP="0014174E">
            <w:pPr>
              <w:widowControl w:val="0"/>
              <w:autoSpaceDE w:val="0"/>
              <w:autoSpaceDN w:val="0"/>
              <w:adjustRightInd w:val="0"/>
              <w:jc w:val="center"/>
              <w:rPr>
                <w:sz w:val="22"/>
                <w:szCs w:val="22"/>
              </w:rPr>
            </w:pPr>
          </w:p>
        </w:tc>
        <w:tc>
          <w:tcPr>
            <w:tcW w:w="1584" w:type="dxa"/>
            <w:tcBorders>
              <w:top w:val="nil"/>
              <w:left w:val="nil"/>
              <w:bottom w:val="single" w:sz="4" w:space="0" w:color="auto"/>
              <w:right w:val="nil"/>
            </w:tcBorders>
          </w:tcPr>
          <w:p w14:paraId="1366ED2B" w14:textId="77777777" w:rsidR="00F95C56" w:rsidRPr="008A467D" w:rsidRDefault="00F95C56" w:rsidP="0014174E">
            <w:pPr>
              <w:widowControl w:val="0"/>
              <w:autoSpaceDE w:val="0"/>
              <w:autoSpaceDN w:val="0"/>
              <w:adjustRightInd w:val="0"/>
              <w:jc w:val="center"/>
              <w:rPr>
                <w:sz w:val="22"/>
                <w:szCs w:val="22"/>
              </w:rPr>
            </w:pPr>
          </w:p>
        </w:tc>
        <w:tc>
          <w:tcPr>
            <w:tcW w:w="1440" w:type="dxa"/>
            <w:tcBorders>
              <w:top w:val="nil"/>
              <w:left w:val="nil"/>
              <w:bottom w:val="single" w:sz="4" w:space="0" w:color="auto"/>
              <w:right w:val="nil"/>
            </w:tcBorders>
          </w:tcPr>
          <w:p w14:paraId="6EA54EE1" w14:textId="77777777" w:rsidR="00F95C56" w:rsidRPr="008A467D" w:rsidRDefault="00F95C56" w:rsidP="0014174E">
            <w:pPr>
              <w:widowControl w:val="0"/>
              <w:autoSpaceDE w:val="0"/>
              <w:autoSpaceDN w:val="0"/>
              <w:adjustRightInd w:val="0"/>
              <w:jc w:val="center"/>
              <w:rPr>
                <w:sz w:val="22"/>
                <w:szCs w:val="22"/>
              </w:rPr>
            </w:pPr>
          </w:p>
        </w:tc>
      </w:tr>
      <w:tr w:rsidR="005E2B72" w:rsidRPr="008A467D" w14:paraId="37ABD10C" w14:textId="77777777" w:rsidTr="577BF0F5">
        <w:trPr>
          <w:jc w:val="center"/>
        </w:trPr>
        <w:tc>
          <w:tcPr>
            <w:tcW w:w="3675" w:type="dxa"/>
            <w:tcBorders>
              <w:top w:val="single" w:sz="4" w:space="0" w:color="auto"/>
              <w:left w:val="nil"/>
              <w:bottom w:val="nil"/>
              <w:right w:val="nil"/>
            </w:tcBorders>
          </w:tcPr>
          <w:p w14:paraId="03AE6B2A" w14:textId="7EC52BE7" w:rsidR="00F95C56" w:rsidRPr="008A467D" w:rsidRDefault="00D67A56" w:rsidP="0014174E">
            <w:pPr>
              <w:widowControl w:val="0"/>
              <w:autoSpaceDE w:val="0"/>
              <w:autoSpaceDN w:val="0"/>
              <w:adjustRightInd w:val="0"/>
              <w:rPr>
                <w:sz w:val="22"/>
                <w:szCs w:val="22"/>
              </w:rPr>
            </w:pPr>
            <w:r>
              <w:rPr>
                <w:sz w:val="22"/>
                <w:szCs w:val="22"/>
              </w:rPr>
              <w:t>Observac</w:t>
            </w:r>
            <w:r w:rsidR="577BF0F5" w:rsidRPr="008A467D">
              <w:rPr>
                <w:sz w:val="22"/>
                <w:szCs w:val="22"/>
              </w:rPr>
              <w:t>ion</w:t>
            </w:r>
            <w:r>
              <w:rPr>
                <w:sz w:val="22"/>
                <w:szCs w:val="22"/>
              </w:rPr>
              <w:t>e</w:t>
            </w:r>
            <w:r w:rsidR="577BF0F5" w:rsidRPr="008A467D">
              <w:rPr>
                <w:sz w:val="22"/>
                <w:szCs w:val="22"/>
              </w:rPr>
              <w:t>s</w:t>
            </w:r>
          </w:p>
        </w:tc>
        <w:tc>
          <w:tcPr>
            <w:tcW w:w="1584" w:type="dxa"/>
            <w:tcBorders>
              <w:top w:val="single" w:sz="4" w:space="0" w:color="auto"/>
              <w:left w:val="nil"/>
              <w:bottom w:val="nil"/>
              <w:right w:val="nil"/>
            </w:tcBorders>
          </w:tcPr>
          <w:p w14:paraId="5551E74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735</w:t>
            </w:r>
          </w:p>
        </w:tc>
        <w:tc>
          <w:tcPr>
            <w:tcW w:w="1440" w:type="dxa"/>
            <w:tcBorders>
              <w:top w:val="single" w:sz="4" w:space="0" w:color="auto"/>
              <w:left w:val="nil"/>
              <w:bottom w:val="nil"/>
              <w:right w:val="nil"/>
            </w:tcBorders>
          </w:tcPr>
          <w:p w14:paraId="4221568B"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4,416</w:t>
            </w:r>
          </w:p>
        </w:tc>
        <w:tc>
          <w:tcPr>
            <w:tcW w:w="1584" w:type="dxa"/>
            <w:tcBorders>
              <w:top w:val="single" w:sz="4" w:space="0" w:color="auto"/>
              <w:left w:val="nil"/>
              <w:bottom w:val="nil"/>
              <w:right w:val="nil"/>
            </w:tcBorders>
          </w:tcPr>
          <w:p w14:paraId="1401F99A"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1,178</w:t>
            </w:r>
          </w:p>
        </w:tc>
        <w:tc>
          <w:tcPr>
            <w:tcW w:w="1440" w:type="dxa"/>
            <w:tcBorders>
              <w:top w:val="single" w:sz="4" w:space="0" w:color="auto"/>
              <w:left w:val="nil"/>
              <w:bottom w:val="nil"/>
              <w:right w:val="nil"/>
            </w:tcBorders>
          </w:tcPr>
          <w:p w14:paraId="2AD13A06"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2,480</w:t>
            </w:r>
          </w:p>
        </w:tc>
      </w:tr>
      <w:tr w:rsidR="005E2B72" w:rsidRPr="008A467D" w14:paraId="0EC9D8BB" w14:textId="77777777" w:rsidTr="577BF0F5">
        <w:tblPrEx>
          <w:tblBorders>
            <w:bottom w:val="single" w:sz="6" w:space="0" w:color="auto"/>
          </w:tblBorders>
        </w:tblPrEx>
        <w:trPr>
          <w:jc w:val="center"/>
        </w:trPr>
        <w:tc>
          <w:tcPr>
            <w:tcW w:w="3675" w:type="dxa"/>
            <w:tcBorders>
              <w:top w:val="nil"/>
              <w:left w:val="nil"/>
              <w:bottom w:val="single" w:sz="6" w:space="0" w:color="auto"/>
              <w:right w:val="nil"/>
            </w:tcBorders>
          </w:tcPr>
          <w:p w14:paraId="557F7D2B" w14:textId="122D82BF" w:rsidR="00F95C56" w:rsidRPr="008A467D" w:rsidRDefault="00D67A56" w:rsidP="0014174E">
            <w:pPr>
              <w:widowControl w:val="0"/>
              <w:autoSpaceDE w:val="0"/>
              <w:autoSpaceDN w:val="0"/>
              <w:adjustRightInd w:val="0"/>
              <w:rPr>
                <w:sz w:val="22"/>
                <w:szCs w:val="22"/>
              </w:rPr>
            </w:pPr>
            <w:r>
              <w:rPr>
                <w:sz w:val="22"/>
                <w:szCs w:val="22"/>
              </w:rPr>
              <w:t>R-cuadrado</w:t>
            </w:r>
          </w:p>
        </w:tc>
        <w:tc>
          <w:tcPr>
            <w:tcW w:w="1584" w:type="dxa"/>
            <w:tcBorders>
              <w:top w:val="nil"/>
              <w:left w:val="nil"/>
              <w:bottom w:val="single" w:sz="6" w:space="0" w:color="auto"/>
              <w:right w:val="nil"/>
            </w:tcBorders>
          </w:tcPr>
          <w:p w14:paraId="16F1C33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0.1132</w:t>
            </w:r>
          </w:p>
        </w:tc>
        <w:tc>
          <w:tcPr>
            <w:tcW w:w="1440" w:type="dxa"/>
            <w:tcBorders>
              <w:top w:val="nil"/>
              <w:left w:val="nil"/>
              <w:bottom w:val="single" w:sz="6" w:space="0" w:color="auto"/>
              <w:right w:val="nil"/>
            </w:tcBorders>
          </w:tcPr>
          <w:p w14:paraId="53DB2B10"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0.0842</w:t>
            </w:r>
          </w:p>
        </w:tc>
        <w:tc>
          <w:tcPr>
            <w:tcW w:w="1584" w:type="dxa"/>
            <w:tcBorders>
              <w:top w:val="nil"/>
              <w:left w:val="nil"/>
              <w:bottom w:val="single" w:sz="6" w:space="0" w:color="auto"/>
              <w:right w:val="nil"/>
            </w:tcBorders>
          </w:tcPr>
          <w:p w14:paraId="1A0FD7FC"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0.2055</w:t>
            </w:r>
          </w:p>
        </w:tc>
        <w:tc>
          <w:tcPr>
            <w:tcW w:w="1440" w:type="dxa"/>
            <w:tcBorders>
              <w:top w:val="nil"/>
              <w:left w:val="nil"/>
              <w:bottom w:val="single" w:sz="6" w:space="0" w:color="auto"/>
              <w:right w:val="nil"/>
            </w:tcBorders>
          </w:tcPr>
          <w:p w14:paraId="6CDDA9D9" w14:textId="77777777" w:rsidR="00F95C56" w:rsidRPr="008A467D" w:rsidRDefault="577BF0F5" w:rsidP="0014174E">
            <w:pPr>
              <w:widowControl w:val="0"/>
              <w:autoSpaceDE w:val="0"/>
              <w:autoSpaceDN w:val="0"/>
              <w:adjustRightInd w:val="0"/>
              <w:jc w:val="center"/>
              <w:rPr>
                <w:sz w:val="22"/>
                <w:szCs w:val="22"/>
              </w:rPr>
            </w:pPr>
            <w:r w:rsidRPr="008A467D">
              <w:rPr>
                <w:sz w:val="22"/>
                <w:szCs w:val="22"/>
              </w:rPr>
              <w:t>0.0057</w:t>
            </w:r>
          </w:p>
        </w:tc>
      </w:tr>
    </w:tbl>
    <w:p w14:paraId="708C2AD0" w14:textId="77777777" w:rsidR="00F95C56" w:rsidRDefault="577BF0F5" w:rsidP="0014174E">
      <w:pPr>
        <w:rPr>
          <w:sz w:val="20"/>
          <w:szCs w:val="20"/>
        </w:rPr>
      </w:pPr>
      <w:r w:rsidRPr="577BF0F5">
        <w:rPr>
          <w:sz w:val="20"/>
          <w:szCs w:val="20"/>
        </w:rPr>
        <w:t>*Significativo al 10%, **significativo al 5%, y ***significativo al 1%</w:t>
      </w:r>
    </w:p>
    <w:p w14:paraId="4C536632" w14:textId="77777777" w:rsidR="00F95C56" w:rsidRDefault="577BF0F5" w:rsidP="0014174E">
      <w:pPr>
        <w:rPr>
          <w:sz w:val="20"/>
          <w:szCs w:val="20"/>
        </w:rPr>
      </w:pPr>
      <w:r w:rsidRPr="577BF0F5">
        <w:rPr>
          <w:sz w:val="20"/>
          <w:szCs w:val="20"/>
        </w:rPr>
        <w:t>+ La pérdida de observaciones entre los modelos es debido a la construcción de la base de datos.</w:t>
      </w:r>
    </w:p>
    <w:p w14:paraId="36847716" w14:textId="77777777" w:rsidR="00F95C56" w:rsidRDefault="00F95C56" w:rsidP="0014174E">
      <w:pPr>
        <w:ind w:firstLine="708"/>
        <w:jc w:val="both"/>
      </w:pPr>
    </w:p>
    <w:p w14:paraId="12D9688D" w14:textId="37768818" w:rsidR="00F95C56" w:rsidRDefault="00FC281A" w:rsidP="0014174E">
      <w:pPr>
        <w:ind w:firstLine="708"/>
        <w:jc w:val="both"/>
        <w:rPr>
          <w:i/>
          <w:iCs/>
        </w:rPr>
      </w:pPr>
      <w:r>
        <w:t xml:space="preserve">En la tabla 5 </w:t>
      </w:r>
      <w:r w:rsidR="008A142A">
        <w:t>se observan l</w:t>
      </w:r>
      <w:r w:rsidR="577BF0F5">
        <w:t xml:space="preserve">os resultados de las </w:t>
      </w:r>
      <w:r w:rsidR="008A142A">
        <w:t>estimaciones, evidenciándose</w:t>
      </w:r>
      <w:r w:rsidR="577BF0F5">
        <w:t xml:space="preserve"> R cuadrados bajos, pero el más alto y, por ende, el que puede identificar el modelo con mayor potencia estadística es el que considera factores</w:t>
      </w:r>
      <w:r w:rsidR="00730CF2">
        <w:t xml:space="preserve"> de estabilidad financiera</w:t>
      </w:r>
      <w:r w:rsidR="577BF0F5">
        <w:t xml:space="preserve"> </w:t>
      </w:r>
      <w:r w:rsidR="00FE4C72">
        <w:t>de</w:t>
      </w:r>
      <w:r w:rsidR="008A467D">
        <w:t xml:space="preserve"> la empresa</w:t>
      </w:r>
      <w:r w:rsidR="577BF0F5">
        <w:t xml:space="preserve"> (modelo 3); en éste se obtiene que la razón corriente es la variable que más influye en el apalancamiento. En el modelo que considera las variables de </w:t>
      </w:r>
      <w:r w:rsidR="00730CF2">
        <w:t>estabilidad</w:t>
      </w:r>
      <w:r w:rsidR="00FE4C72">
        <w:t xml:space="preserve"> financiera</w:t>
      </w:r>
      <w:r w:rsidR="00F9057A">
        <w:t xml:space="preserve"> de la empresa</w:t>
      </w:r>
      <w:r w:rsidR="00FE4C72">
        <w:t xml:space="preserve"> y desempeño del sector</w:t>
      </w:r>
      <w:r w:rsidR="577BF0F5">
        <w:t xml:space="preserve"> (modelo 2), las que más influyen son la razón corriente y la dicótoma de pérdidas (</w:t>
      </w:r>
      <w:r w:rsidR="577BF0F5" w:rsidRPr="577BF0F5">
        <w:rPr>
          <w:i/>
          <w:iCs/>
        </w:rPr>
        <w:t>dummyPerdidas</w:t>
      </w:r>
      <w:r w:rsidR="577BF0F5">
        <w:t>), y las vari</w:t>
      </w:r>
      <w:r w:rsidR="008A467D">
        <w:t>ables de carácter sectorial</w:t>
      </w:r>
      <w:r w:rsidR="577BF0F5">
        <w:t xml:space="preserve"> no tienen gran relevancia. Además, se puede evidenciar que el efecto de controlar por país sí tiene importancia; de hecho, el país es relev</w:t>
      </w:r>
      <w:r w:rsidR="008A142A">
        <w:t xml:space="preserve">ante en el modelo de </w:t>
      </w:r>
      <w:r w:rsidR="009D512A">
        <w:t>estabilidad</w:t>
      </w:r>
      <w:r w:rsidR="008A142A">
        <w:t>, lo cual evidencia una</w:t>
      </w:r>
      <w:r w:rsidR="577BF0F5">
        <w:t xml:space="preserve"> diferencia en el nivel de apalancamiento entre las empresas colombianas con respecto a las empresas argentinas, </w:t>
      </w:r>
      <w:r w:rsidR="00683494">
        <w:t>debido a que</w:t>
      </w:r>
      <w:r w:rsidR="00FB2C41">
        <w:t xml:space="preserve"> </w:t>
      </w:r>
      <w:r w:rsidR="004A4FED">
        <w:rPr>
          <w:i/>
          <w:iCs/>
        </w:rPr>
        <w:t>País</w:t>
      </w:r>
      <w:r w:rsidR="00FB2C41">
        <w:t xml:space="preserve"> </w:t>
      </w:r>
      <w:r w:rsidR="00683494">
        <w:t xml:space="preserve">es </w:t>
      </w:r>
      <w:r w:rsidR="00FB2C41">
        <w:t>significativo</w:t>
      </w:r>
      <w:r w:rsidR="577BF0F5" w:rsidRPr="577BF0F5">
        <w:rPr>
          <w:i/>
          <w:iCs/>
        </w:rPr>
        <w:t>.</w:t>
      </w:r>
      <w:r w:rsidR="577BF0F5">
        <w:t xml:space="preserve"> En el caso particular, la variable </w:t>
      </w:r>
      <w:r w:rsidR="004A4FED">
        <w:rPr>
          <w:i/>
          <w:iCs/>
        </w:rPr>
        <w:t>País</w:t>
      </w:r>
      <w:r w:rsidR="577BF0F5" w:rsidRPr="577BF0F5">
        <w:rPr>
          <w:i/>
          <w:iCs/>
        </w:rPr>
        <w:t xml:space="preserve"> </w:t>
      </w:r>
      <w:r w:rsidR="577BF0F5">
        <w:t xml:space="preserve">es estadísticamente significativa, por lo que el apalancamiento de las empresas colombianas es, en promedio, inferior al apalancamiento de las empresas argentinas. En consecuencia, en Colombia es menor el acceso al </w:t>
      </w:r>
      <w:r w:rsidR="00932F01">
        <w:t xml:space="preserve">financiamiento mediante </w:t>
      </w:r>
      <w:r w:rsidR="577BF0F5">
        <w:t xml:space="preserve">crédito </w:t>
      </w:r>
      <w:r w:rsidR="00932F01">
        <w:t>(</w:t>
      </w:r>
      <w:r w:rsidR="577BF0F5">
        <w:t>recursos externos</w:t>
      </w:r>
      <w:r w:rsidR="00932F01">
        <w:t>)</w:t>
      </w:r>
      <w:r w:rsidR="577BF0F5" w:rsidRPr="577BF0F5">
        <w:rPr>
          <w:i/>
          <w:iCs/>
        </w:rPr>
        <w:t>.</w:t>
      </w:r>
    </w:p>
    <w:p w14:paraId="1795D35C" w14:textId="77777777" w:rsidR="0014174E" w:rsidRDefault="0014174E" w:rsidP="0014174E">
      <w:pPr>
        <w:ind w:firstLine="708"/>
        <w:jc w:val="both"/>
        <w:rPr>
          <w:i/>
          <w:iCs/>
        </w:rPr>
      </w:pPr>
    </w:p>
    <w:p w14:paraId="69DA3F65" w14:textId="0A41EB67" w:rsidR="0014174E" w:rsidRDefault="577BF0F5" w:rsidP="0014174E">
      <w:pPr>
        <w:ind w:firstLine="708"/>
        <w:jc w:val="both"/>
      </w:pPr>
      <w:r>
        <w:t>Ahora, para identificar la diferencia de los efec</w:t>
      </w:r>
      <w:r w:rsidR="001714B6">
        <w:t>tos de las crisis de nivel empresa</w:t>
      </w:r>
      <w:r>
        <w:t xml:space="preserve"> </w:t>
      </w:r>
      <w:r w:rsidR="001714B6">
        <w:t>y sectorial</w:t>
      </w:r>
      <w:r>
        <w:t xml:space="preserve"> entre países se utiliza la interacción entre la dummy de pérd</w:t>
      </w:r>
      <w:r w:rsidR="008A467D">
        <w:t>idas de la empresa y la del sector</w:t>
      </w:r>
      <w:r>
        <w:t xml:space="preserve">, y, además, la interacción entre la dummy de decrecimiento en el PIB sectorial y la del país. Los resultados </w:t>
      </w:r>
      <w:r w:rsidR="00932F01">
        <w:t>reflejan la inexistencia de</w:t>
      </w:r>
      <w:r>
        <w:t xml:space="preserve"> diferencias entre los países del efecto de las pérdidas de las empresas sobre el apalancamiento; sin embargo, la aparición de una crisis en el sector lleva a las empresas en los dos países a que modifiquen en forma diferenciada sus niveles de apalancamiento. En el caso particular de Colombia, el efecto es inferior al de Argentina; por tanto, un decrecimiento en el PIB de un sector por dos o más trimestres consecutivos en Colombia genera que el apalancamiento </w:t>
      </w:r>
      <w:r w:rsidR="00932F01">
        <w:t>empresarial</w:t>
      </w:r>
      <w:r>
        <w:t xml:space="preserve"> sea en promedio 2.74 menos que en Argentina, y en empresas de sectores que no están en recesión. </w:t>
      </w:r>
    </w:p>
    <w:p w14:paraId="653E6FD9" w14:textId="74BEF0C3" w:rsidR="00F95C56" w:rsidRDefault="577BF0F5" w:rsidP="0014174E">
      <w:pPr>
        <w:ind w:firstLine="708"/>
        <w:jc w:val="both"/>
      </w:pPr>
      <w:r>
        <w:t xml:space="preserve"> </w:t>
      </w:r>
    </w:p>
    <w:p w14:paraId="2198B69A" w14:textId="544356D4" w:rsidR="00F95C56" w:rsidRDefault="577BF0F5" w:rsidP="0014174E">
      <w:pPr>
        <w:ind w:firstLine="708"/>
        <w:jc w:val="both"/>
      </w:pPr>
      <w:r>
        <w:t>Asimismo, hay diversas variables que son significativas al 1 %, como es el caso de</w:t>
      </w:r>
      <w:r w:rsidRPr="577BF0F5">
        <w:rPr>
          <w:i/>
          <w:iCs/>
        </w:rPr>
        <w:t xml:space="preserve"> </w:t>
      </w:r>
      <w:r>
        <w:t xml:space="preserve">la razón corriente, la rentabilidad sobre los activos y los escudos fiscales. Se deduce la fuerte incidencia que tienen para determinar el nivel de apalancamiento de una empresa, tanto en el </w:t>
      </w:r>
      <w:r>
        <w:lastRenderedPageBreak/>
        <w:t>modelo</w:t>
      </w:r>
      <w:r w:rsidR="001714B6">
        <w:t xml:space="preserve"> general como en el modelo del nivel empresa</w:t>
      </w:r>
      <w:r>
        <w:t xml:space="preserve">, y lo más relevante es que conservan el signo entre los modelos. </w:t>
      </w:r>
    </w:p>
    <w:p w14:paraId="5C275855" w14:textId="77777777" w:rsidR="0014174E" w:rsidRDefault="0014174E" w:rsidP="0014174E">
      <w:pPr>
        <w:ind w:firstLine="708"/>
        <w:jc w:val="both"/>
      </w:pPr>
    </w:p>
    <w:p w14:paraId="31BCDCF5" w14:textId="5097B22E" w:rsidR="00F95C56" w:rsidRDefault="577BF0F5" w:rsidP="0014174E">
      <w:pPr>
        <w:ind w:firstLine="708"/>
        <w:jc w:val="both"/>
      </w:pPr>
      <w:r>
        <w:t xml:space="preserve">En el modelo general es importante destacar que variables diferentes a las de fragilidad a nivel de empresa, como el tamaño de la empresa, la rentabilidad sobre los activos, las variables de impuestos y los escudos fiscales, son estadísticamente significativas. Es evidente que empresas que tienen mayor nivel de apalancamiento tienen menor valorización (tamaño), son menos rentables, tienen una tasa de impuestos más baja, tienen mayor valor en impuestos diferidos, durante los últimos cinco años han tenido una tasa de impuestos más alta y tienen menores escudos fiscales. </w:t>
      </w:r>
    </w:p>
    <w:p w14:paraId="6C749981" w14:textId="77777777" w:rsidR="0014174E" w:rsidRDefault="0014174E" w:rsidP="0014174E">
      <w:pPr>
        <w:ind w:firstLine="708"/>
        <w:jc w:val="both"/>
      </w:pPr>
    </w:p>
    <w:p w14:paraId="74E1D78E" w14:textId="7D643CBB" w:rsidR="00F95C56" w:rsidRDefault="577BF0F5" w:rsidP="0014174E">
      <w:pPr>
        <w:ind w:firstLine="708"/>
        <w:jc w:val="both"/>
        <w:rPr>
          <w:lang w:val="es-CO"/>
        </w:rPr>
      </w:pPr>
      <w:r w:rsidRPr="577BF0F5">
        <w:rPr>
          <w:lang w:val="es-CO"/>
        </w:rPr>
        <w:t xml:space="preserve">El segundo modelo permite capturar </w:t>
      </w:r>
      <w:r w:rsidR="00932F01">
        <w:rPr>
          <w:lang w:val="es-CO"/>
        </w:rPr>
        <w:t xml:space="preserve">el papel de </w:t>
      </w:r>
      <w:r w:rsidR="00F9057A">
        <w:rPr>
          <w:lang w:val="es-CO"/>
        </w:rPr>
        <w:t xml:space="preserve">las variables asociadas a la estabilidad </w:t>
      </w:r>
      <w:r w:rsidRPr="577BF0F5">
        <w:rPr>
          <w:lang w:val="es-CO"/>
        </w:rPr>
        <w:t>financie</w:t>
      </w:r>
      <w:r w:rsidR="00932F01">
        <w:rPr>
          <w:lang w:val="es-CO"/>
        </w:rPr>
        <w:t>ra</w:t>
      </w:r>
      <w:r w:rsidR="00F9057A">
        <w:rPr>
          <w:lang w:val="es-CO"/>
        </w:rPr>
        <w:t xml:space="preserve"> de la empresa y el desempeño del sector</w:t>
      </w:r>
      <w:r w:rsidR="00932F01">
        <w:rPr>
          <w:lang w:val="es-CO"/>
        </w:rPr>
        <w:t>, donde</w:t>
      </w:r>
      <w:r w:rsidR="001714B6">
        <w:rPr>
          <w:lang w:val="es-CO"/>
        </w:rPr>
        <w:t xml:space="preserve"> las </w:t>
      </w:r>
      <w:r w:rsidR="00F9057A">
        <w:rPr>
          <w:lang w:val="es-CO"/>
        </w:rPr>
        <w:t>primeras de las variables</w:t>
      </w:r>
      <w:r w:rsidRPr="577BF0F5">
        <w:rPr>
          <w:lang w:val="es-CO"/>
        </w:rPr>
        <w:t xml:space="preserve"> son las que tienen mayor influencia sobre el nivel de</w:t>
      </w:r>
      <w:r w:rsidR="001714B6">
        <w:rPr>
          <w:lang w:val="es-CO"/>
        </w:rPr>
        <w:t xml:space="preserve"> apalancamiento. Las variables sectoriales</w:t>
      </w:r>
      <w:r w:rsidRPr="577BF0F5">
        <w:rPr>
          <w:lang w:val="es-CO"/>
        </w:rPr>
        <w:t xml:space="preserve"> que tienen algún grado de incidencia son: la tasa de variación del PIB del sector (</w:t>
      </w:r>
      <w:r>
        <w:t>crecimientoDecrecimiento)</w:t>
      </w:r>
      <w:r w:rsidRPr="577BF0F5">
        <w:rPr>
          <w:lang w:val="es-CO"/>
        </w:rPr>
        <w:t xml:space="preserve"> y la existencia de una recesión en sectores afines a la empresa (</w:t>
      </w:r>
      <w:r>
        <w:t>dummypibsector2); s</w:t>
      </w:r>
      <w:r w:rsidRPr="577BF0F5">
        <w:rPr>
          <w:lang w:val="es-CO"/>
        </w:rPr>
        <w:t xml:space="preserve">in embargo, los coeficientes son estadísticamente significativos al 10 %, por lo que se debilita el análisis,  y en especial el resultado de </w:t>
      </w:r>
      <w:r w:rsidRPr="577BF0F5">
        <w:rPr>
          <w:i/>
          <w:iCs/>
        </w:rPr>
        <w:t>dummypibsector2</w:t>
      </w:r>
      <w:r>
        <w:t>,</w:t>
      </w:r>
      <w:r w:rsidRPr="577BF0F5">
        <w:rPr>
          <w:lang w:val="es-CO"/>
        </w:rPr>
        <w:t xml:space="preserve"> dado que en el modelo 4 pierde su significancia.     </w:t>
      </w:r>
    </w:p>
    <w:p w14:paraId="5031E7E4" w14:textId="77777777" w:rsidR="0014174E" w:rsidRDefault="0014174E" w:rsidP="0014174E">
      <w:pPr>
        <w:ind w:firstLine="708"/>
        <w:jc w:val="both"/>
        <w:rPr>
          <w:lang w:val="es-CO"/>
        </w:rPr>
      </w:pPr>
    </w:p>
    <w:p w14:paraId="75D700E8" w14:textId="6E82AADF" w:rsidR="00F95C56" w:rsidRDefault="577BF0F5" w:rsidP="0014174E">
      <w:pPr>
        <w:ind w:firstLine="708"/>
        <w:jc w:val="both"/>
      </w:pPr>
      <w:r>
        <w:t xml:space="preserve">En el tercer modelo, algunas de las variables internas de las empresas son significativas y en su mayoría coinciden con el modelo general. Por último, en el modelo </w:t>
      </w:r>
      <w:r w:rsidR="001714B6">
        <w:t xml:space="preserve">que incluye variables </w:t>
      </w:r>
      <w:r>
        <w:t>macro</w:t>
      </w:r>
      <w:r w:rsidR="001714B6">
        <w:t xml:space="preserve"> y sectoriales</w:t>
      </w:r>
      <w:r>
        <w:t xml:space="preserve"> (modelo 4), prácticamente todas las variables son significativas, pero con un R cuadrado de 2,19 %; por tanto, se puede afirmar que las variables definidas no explican el nivel de apalancamiento. Una variable destacada es la tasa de variación del PIB del sector, la cual brinda un indicio de que sí podría haber una diferencia entre las empresas dependiendo del sector económico al que pertenezcan, tal como lo que encontraron Virgen y Rivera (2012). Lo observado permite identificar que cuando ocurre una crisis en el sector las empresas deciden reducir su deuda, por lo que se puede señalar que el apalancamiento empresarial sigue una dinámica procíclica.</w:t>
      </w:r>
    </w:p>
    <w:p w14:paraId="544AA8AF" w14:textId="77777777" w:rsidR="00F95C56" w:rsidRDefault="00F95C56" w:rsidP="0014174E">
      <w:pPr>
        <w:ind w:firstLine="708"/>
        <w:jc w:val="both"/>
      </w:pPr>
    </w:p>
    <w:p w14:paraId="37BB12EC" w14:textId="77777777" w:rsidR="001714B6" w:rsidRDefault="001714B6" w:rsidP="00407B2D">
      <w:pPr>
        <w:jc w:val="both"/>
      </w:pPr>
    </w:p>
    <w:p w14:paraId="6A5687D3" w14:textId="12D9703C" w:rsidR="00407B2D" w:rsidRDefault="577BF0F5" w:rsidP="007A272B">
      <w:pPr>
        <w:jc w:val="center"/>
        <w:outlineLvl w:val="0"/>
        <w:rPr>
          <w:b/>
          <w:bCs/>
          <w:lang w:val="es-CO"/>
        </w:rPr>
      </w:pPr>
      <w:r w:rsidRPr="577BF0F5">
        <w:rPr>
          <w:b/>
          <w:bCs/>
          <w:lang w:val="es-CO"/>
        </w:rPr>
        <w:t>Tabla 6. Regresiones de efectos</w:t>
      </w:r>
      <w:r w:rsidR="00407B2D">
        <w:rPr>
          <w:b/>
          <w:bCs/>
          <w:lang w:val="es-CO"/>
        </w:rPr>
        <w:t xml:space="preserve"> por </w:t>
      </w:r>
      <w:r w:rsidRPr="577BF0F5">
        <w:rPr>
          <w:b/>
          <w:bCs/>
          <w:lang w:val="es-CO"/>
        </w:rPr>
        <w:t>sector</w:t>
      </w:r>
    </w:p>
    <w:tbl>
      <w:tblPr>
        <w:tblW w:w="6699" w:type="dxa"/>
        <w:jc w:val="center"/>
        <w:tblLayout w:type="fixed"/>
        <w:tblCellMar>
          <w:left w:w="75" w:type="dxa"/>
          <w:right w:w="75" w:type="dxa"/>
        </w:tblCellMar>
        <w:tblLook w:val="0000" w:firstRow="0" w:lastRow="0" w:firstColumn="0" w:lastColumn="0" w:noHBand="0" w:noVBand="0"/>
      </w:tblPr>
      <w:tblGrid>
        <w:gridCol w:w="3675"/>
        <w:gridCol w:w="1584"/>
        <w:gridCol w:w="1440"/>
      </w:tblGrid>
      <w:tr w:rsidR="00407B2D" w:rsidRPr="001714B6" w14:paraId="57DCE04C" w14:textId="77777777" w:rsidTr="00B946EA">
        <w:trPr>
          <w:trHeight w:val="274"/>
          <w:jc w:val="center"/>
        </w:trPr>
        <w:tc>
          <w:tcPr>
            <w:tcW w:w="3675" w:type="dxa"/>
            <w:tcBorders>
              <w:top w:val="nil"/>
              <w:left w:val="nil"/>
              <w:bottom w:val="single" w:sz="6" w:space="0" w:color="auto"/>
              <w:right w:val="nil"/>
            </w:tcBorders>
          </w:tcPr>
          <w:p w14:paraId="4AE8085B" w14:textId="77777777" w:rsidR="00407B2D" w:rsidRPr="00407B2D" w:rsidRDefault="00407B2D" w:rsidP="00407B2D">
            <w:pPr>
              <w:widowControl w:val="0"/>
              <w:autoSpaceDE w:val="0"/>
              <w:autoSpaceDN w:val="0"/>
              <w:adjustRightInd w:val="0"/>
              <w:jc w:val="center"/>
              <w:rPr>
                <w:sz w:val="22"/>
                <w:szCs w:val="22"/>
              </w:rPr>
            </w:pPr>
          </w:p>
        </w:tc>
        <w:tc>
          <w:tcPr>
            <w:tcW w:w="1584" w:type="dxa"/>
            <w:tcBorders>
              <w:top w:val="nil"/>
              <w:left w:val="nil"/>
              <w:bottom w:val="single" w:sz="6" w:space="0" w:color="auto"/>
              <w:right w:val="nil"/>
            </w:tcBorders>
          </w:tcPr>
          <w:p w14:paraId="4295595C"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single" w:sz="6" w:space="0" w:color="auto"/>
              <w:right w:val="nil"/>
            </w:tcBorders>
          </w:tcPr>
          <w:p w14:paraId="7691F124"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6466A8C6" w14:textId="77777777" w:rsidTr="00B946EA">
        <w:trPr>
          <w:jc w:val="center"/>
        </w:trPr>
        <w:tc>
          <w:tcPr>
            <w:tcW w:w="3675" w:type="dxa"/>
            <w:tcBorders>
              <w:top w:val="nil"/>
              <w:left w:val="nil"/>
              <w:bottom w:val="single" w:sz="6" w:space="0" w:color="auto"/>
              <w:right w:val="nil"/>
            </w:tcBorders>
          </w:tcPr>
          <w:p w14:paraId="6AF6D561"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VARIABLES</w:t>
            </w:r>
          </w:p>
        </w:tc>
        <w:tc>
          <w:tcPr>
            <w:tcW w:w="1584" w:type="dxa"/>
            <w:tcBorders>
              <w:top w:val="nil"/>
              <w:left w:val="nil"/>
              <w:bottom w:val="single" w:sz="6" w:space="0" w:color="auto"/>
              <w:right w:val="nil"/>
            </w:tcBorders>
          </w:tcPr>
          <w:p w14:paraId="11F7A6A8" w14:textId="1D4FE5BB" w:rsidR="00407B2D" w:rsidRPr="001714B6" w:rsidRDefault="00407B2D" w:rsidP="00407B2D">
            <w:pPr>
              <w:widowControl w:val="0"/>
              <w:autoSpaceDE w:val="0"/>
              <w:autoSpaceDN w:val="0"/>
              <w:adjustRightInd w:val="0"/>
              <w:jc w:val="center"/>
              <w:rPr>
                <w:sz w:val="22"/>
                <w:szCs w:val="22"/>
              </w:rPr>
            </w:pPr>
            <w:r w:rsidRPr="001714B6">
              <w:rPr>
                <w:sz w:val="22"/>
                <w:szCs w:val="22"/>
              </w:rPr>
              <w:t>Sector financiero</w:t>
            </w:r>
          </w:p>
        </w:tc>
        <w:tc>
          <w:tcPr>
            <w:tcW w:w="1440" w:type="dxa"/>
            <w:tcBorders>
              <w:top w:val="nil"/>
              <w:left w:val="nil"/>
              <w:bottom w:val="single" w:sz="6" w:space="0" w:color="auto"/>
              <w:right w:val="nil"/>
            </w:tcBorders>
          </w:tcPr>
          <w:p w14:paraId="64C13DA4" w14:textId="5EC21478" w:rsidR="00407B2D" w:rsidRPr="001714B6" w:rsidRDefault="00407B2D" w:rsidP="00407B2D">
            <w:pPr>
              <w:widowControl w:val="0"/>
              <w:autoSpaceDE w:val="0"/>
              <w:autoSpaceDN w:val="0"/>
              <w:adjustRightInd w:val="0"/>
              <w:jc w:val="center"/>
              <w:rPr>
                <w:sz w:val="22"/>
                <w:szCs w:val="22"/>
              </w:rPr>
            </w:pPr>
            <w:r w:rsidRPr="001714B6">
              <w:rPr>
                <w:sz w:val="22"/>
                <w:szCs w:val="22"/>
              </w:rPr>
              <w:t>Sector real</w:t>
            </w:r>
          </w:p>
        </w:tc>
      </w:tr>
      <w:tr w:rsidR="00407B2D" w:rsidRPr="001714B6" w14:paraId="08818E8A" w14:textId="77777777" w:rsidTr="00B946EA">
        <w:trPr>
          <w:jc w:val="center"/>
        </w:trPr>
        <w:tc>
          <w:tcPr>
            <w:tcW w:w="3675" w:type="dxa"/>
            <w:tcBorders>
              <w:top w:val="nil"/>
              <w:left w:val="nil"/>
              <w:bottom w:val="nil"/>
              <w:right w:val="nil"/>
            </w:tcBorders>
          </w:tcPr>
          <w:p w14:paraId="516598DB" w14:textId="77777777" w:rsidR="00407B2D" w:rsidRPr="001714B6" w:rsidRDefault="00407B2D" w:rsidP="00407B2D">
            <w:pPr>
              <w:widowControl w:val="0"/>
              <w:autoSpaceDE w:val="0"/>
              <w:autoSpaceDN w:val="0"/>
              <w:adjustRightInd w:val="0"/>
              <w:jc w:val="center"/>
              <w:rPr>
                <w:b/>
                <w:sz w:val="22"/>
                <w:szCs w:val="22"/>
              </w:rPr>
            </w:pPr>
          </w:p>
        </w:tc>
        <w:tc>
          <w:tcPr>
            <w:tcW w:w="1584" w:type="dxa"/>
            <w:tcBorders>
              <w:top w:val="nil"/>
              <w:left w:val="nil"/>
              <w:bottom w:val="nil"/>
              <w:right w:val="nil"/>
            </w:tcBorders>
          </w:tcPr>
          <w:p w14:paraId="41684675"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5863D224"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34E3A2C8" w14:textId="77777777" w:rsidTr="00B946EA">
        <w:trPr>
          <w:jc w:val="center"/>
        </w:trPr>
        <w:tc>
          <w:tcPr>
            <w:tcW w:w="3675" w:type="dxa"/>
            <w:tcBorders>
              <w:top w:val="nil"/>
              <w:left w:val="nil"/>
              <w:bottom w:val="nil"/>
              <w:right w:val="nil"/>
            </w:tcBorders>
          </w:tcPr>
          <w:p w14:paraId="101FA1E6" w14:textId="77777777" w:rsidR="00407B2D" w:rsidRDefault="00407B2D" w:rsidP="00F9057A">
            <w:pPr>
              <w:widowControl w:val="0"/>
              <w:autoSpaceDE w:val="0"/>
              <w:autoSpaceDN w:val="0"/>
              <w:adjustRightInd w:val="0"/>
              <w:jc w:val="both"/>
              <w:rPr>
                <w:b/>
                <w:bCs/>
                <w:sz w:val="22"/>
                <w:szCs w:val="22"/>
              </w:rPr>
            </w:pPr>
            <w:r>
              <w:rPr>
                <w:b/>
                <w:bCs/>
                <w:sz w:val="22"/>
                <w:szCs w:val="22"/>
              </w:rPr>
              <w:t>Variables</w:t>
            </w:r>
            <w:r w:rsidR="00F9057A">
              <w:rPr>
                <w:b/>
                <w:bCs/>
                <w:sz w:val="22"/>
                <w:szCs w:val="22"/>
              </w:rPr>
              <w:t xml:space="preserve"> de estabilidad financiera</w:t>
            </w:r>
            <w:r>
              <w:rPr>
                <w:b/>
                <w:bCs/>
                <w:sz w:val="22"/>
                <w:szCs w:val="22"/>
              </w:rPr>
              <w:t xml:space="preserve"> </w:t>
            </w:r>
          </w:p>
          <w:p w14:paraId="6D460757" w14:textId="43257C55" w:rsidR="00F9057A" w:rsidRPr="001714B6" w:rsidRDefault="00F9057A" w:rsidP="00F9057A">
            <w:pPr>
              <w:widowControl w:val="0"/>
              <w:autoSpaceDE w:val="0"/>
              <w:autoSpaceDN w:val="0"/>
              <w:adjustRightInd w:val="0"/>
              <w:jc w:val="both"/>
              <w:rPr>
                <w:b/>
                <w:bCs/>
                <w:sz w:val="22"/>
                <w:szCs w:val="22"/>
              </w:rPr>
            </w:pPr>
          </w:p>
        </w:tc>
        <w:tc>
          <w:tcPr>
            <w:tcW w:w="1584" w:type="dxa"/>
            <w:tcBorders>
              <w:top w:val="nil"/>
              <w:left w:val="nil"/>
              <w:bottom w:val="nil"/>
              <w:right w:val="nil"/>
            </w:tcBorders>
          </w:tcPr>
          <w:p w14:paraId="3C2ABC3B"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4E83E48C"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1CB7A587" w14:textId="77777777" w:rsidTr="00B946EA">
        <w:trPr>
          <w:jc w:val="center"/>
        </w:trPr>
        <w:tc>
          <w:tcPr>
            <w:tcW w:w="3675" w:type="dxa"/>
            <w:tcBorders>
              <w:top w:val="nil"/>
              <w:left w:val="nil"/>
              <w:bottom w:val="nil"/>
              <w:right w:val="nil"/>
            </w:tcBorders>
          </w:tcPr>
          <w:p w14:paraId="1BE896EB" w14:textId="77777777" w:rsidR="00407B2D" w:rsidRPr="001714B6" w:rsidRDefault="00407B2D" w:rsidP="00407B2D">
            <w:pPr>
              <w:widowControl w:val="0"/>
              <w:autoSpaceDE w:val="0"/>
              <w:autoSpaceDN w:val="0"/>
              <w:adjustRightInd w:val="0"/>
              <w:jc w:val="both"/>
              <w:rPr>
                <w:sz w:val="22"/>
                <w:szCs w:val="22"/>
              </w:rPr>
            </w:pPr>
            <w:bookmarkStart w:id="1" w:name="_Hlk478989320"/>
            <w:r w:rsidRPr="001714B6">
              <w:rPr>
                <w:sz w:val="22"/>
                <w:szCs w:val="22"/>
              </w:rPr>
              <w:t>R_Corriente</w:t>
            </w:r>
          </w:p>
        </w:tc>
        <w:tc>
          <w:tcPr>
            <w:tcW w:w="1584" w:type="dxa"/>
            <w:tcBorders>
              <w:top w:val="nil"/>
              <w:left w:val="nil"/>
              <w:bottom w:val="nil"/>
              <w:right w:val="nil"/>
            </w:tcBorders>
          </w:tcPr>
          <w:p w14:paraId="134E97B0"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491DF11C"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-3.192***</w:t>
            </w:r>
          </w:p>
        </w:tc>
      </w:tr>
      <w:tr w:rsidR="00407B2D" w:rsidRPr="001714B6" w14:paraId="532BC355" w14:textId="77777777" w:rsidTr="00B946EA">
        <w:trPr>
          <w:trHeight w:val="568"/>
          <w:jc w:val="center"/>
        </w:trPr>
        <w:tc>
          <w:tcPr>
            <w:tcW w:w="3675" w:type="dxa"/>
            <w:tcBorders>
              <w:top w:val="nil"/>
              <w:left w:val="nil"/>
              <w:bottom w:val="nil"/>
              <w:right w:val="nil"/>
            </w:tcBorders>
          </w:tcPr>
          <w:p w14:paraId="4C55E42A"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2D94EDC5"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45727628"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(0.535)</w:t>
            </w:r>
          </w:p>
        </w:tc>
      </w:tr>
      <w:tr w:rsidR="00407B2D" w:rsidRPr="001714B6" w14:paraId="6FA5E251" w14:textId="77777777" w:rsidTr="00B946EA">
        <w:trPr>
          <w:jc w:val="center"/>
        </w:trPr>
        <w:tc>
          <w:tcPr>
            <w:tcW w:w="3675" w:type="dxa"/>
            <w:tcBorders>
              <w:top w:val="nil"/>
              <w:left w:val="nil"/>
              <w:bottom w:val="nil"/>
              <w:right w:val="nil"/>
            </w:tcBorders>
          </w:tcPr>
          <w:p w14:paraId="50F175CF"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dummyPerdidas</w:t>
            </w:r>
          </w:p>
        </w:tc>
        <w:tc>
          <w:tcPr>
            <w:tcW w:w="1584" w:type="dxa"/>
            <w:tcBorders>
              <w:top w:val="nil"/>
              <w:left w:val="nil"/>
              <w:bottom w:val="nil"/>
              <w:right w:val="nil"/>
            </w:tcBorders>
          </w:tcPr>
          <w:p w14:paraId="7B75F617"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1.159*</w:t>
            </w:r>
          </w:p>
        </w:tc>
        <w:tc>
          <w:tcPr>
            <w:tcW w:w="1440" w:type="dxa"/>
            <w:tcBorders>
              <w:top w:val="nil"/>
              <w:left w:val="nil"/>
              <w:bottom w:val="nil"/>
              <w:right w:val="nil"/>
            </w:tcBorders>
          </w:tcPr>
          <w:p w14:paraId="776EC5C4"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2.1372**</w:t>
            </w:r>
          </w:p>
        </w:tc>
      </w:tr>
      <w:tr w:rsidR="00407B2D" w:rsidRPr="001714B6" w14:paraId="74BAD36B" w14:textId="77777777" w:rsidTr="00B946EA">
        <w:trPr>
          <w:jc w:val="center"/>
        </w:trPr>
        <w:tc>
          <w:tcPr>
            <w:tcW w:w="3675" w:type="dxa"/>
            <w:tcBorders>
              <w:top w:val="nil"/>
              <w:left w:val="nil"/>
              <w:bottom w:val="nil"/>
              <w:right w:val="nil"/>
            </w:tcBorders>
          </w:tcPr>
          <w:p w14:paraId="49E82FD7"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1EFBFC7A"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(0.702)</w:t>
            </w:r>
          </w:p>
        </w:tc>
        <w:tc>
          <w:tcPr>
            <w:tcW w:w="1440" w:type="dxa"/>
            <w:tcBorders>
              <w:top w:val="nil"/>
              <w:left w:val="nil"/>
              <w:bottom w:val="nil"/>
              <w:right w:val="nil"/>
            </w:tcBorders>
          </w:tcPr>
          <w:p w14:paraId="4411AA30"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(0.898)</w:t>
            </w:r>
          </w:p>
        </w:tc>
      </w:tr>
      <w:tr w:rsidR="00407B2D" w:rsidRPr="001714B6" w14:paraId="7F6350D7" w14:textId="77777777" w:rsidTr="00B946EA">
        <w:trPr>
          <w:jc w:val="center"/>
        </w:trPr>
        <w:tc>
          <w:tcPr>
            <w:tcW w:w="3675" w:type="dxa"/>
            <w:tcBorders>
              <w:top w:val="nil"/>
              <w:left w:val="nil"/>
              <w:bottom w:val="nil"/>
              <w:right w:val="nil"/>
            </w:tcBorders>
          </w:tcPr>
          <w:p w14:paraId="3E4DA3DC" w14:textId="19A9D87C" w:rsidR="00407B2D" w:rsidRPr="001714B6" w:rsidRDefault="004A4FED" w:rsidP="00407B2D">
            <w:pPr>
              <w:widowControl w:val="0"/>
              <w:autoSpaceDE w:val="0"/>
              <w:autoSpaceDN w:val="0"/>
              <w:adjustRightInd w:val="0"/>
              <w:jc w:val="both"/>
              <w:rPr>
                <w:sz w:val="22"/>
                <w:szCs w:val="22"/>
              </w:rPr>
            </w:pPr>
            <w:r>
              <w:rPr>
                <w:sz w:val="22"/>
                <w:szCs w:val="22"/>
              </w:rPr>
              <w:t>dummyPerdidas*País</w:t>
            </w:r>
          </w:p>
        </w:tc>
        <w:tc>
          <w:tcPr>
            <w:tcW w:w="1584" w:type="dxa"/>
            <w:tcBorders>
              <w:top w:val="nil"/>
              <w:left w:val="nil"/>
              <w:bottom w:val="nil"/>
              <w:right w:val="nil"/>
            </w:tcBorders>
          </w:tcPr>
          <w:p w14:paraId="295272EC"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5B0F9210"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-1.5732</w:t>
            </w:r>
          </w:p>
        </w:tc>
      </w:tr>
      <w:tr w:rsidR="00407B2D" w:rsidRPr="001714B6" w14:paraId="5529A71E" w14:textId="77777777" w:rsidTr="00B946EA">
        <w:trPr>
          <w:jc w:val="center"/>
        </w:trPr>
        <w:tc>
          <w:tcPr>
            <w:tcW w:w="3675" w:type="dxa"/>
            <w:tcBorders>
              <w:top w:val="nil"/>
              <w:left w:val="nil"/>
              <w:bottom w:val="nil"/>
              <w:right w:val="nil"/>
            </w:tcBorders>
          </w:tcPr>
          <w:p w14:paraId="202150ED"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1C43383F"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59D18008"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(0.823)</w:t>
            </w:r>
          </w:p>
        </w:tc>
      </w:tr>
      <w:tr w:rsidR="00407B2D" w:rsidRPr="001714B6" w14:paraId="4F030D23" w14:textId="77777777" w:rsidTr="00B946EA">
        <w:trPr>
          <w:jc w:val="center"/>
        </w:trPr>
        <w:tc>
          <w:tcPr>
            <w:tcW w:w="3675" w:type="dxa"/>
            <w:tcBorders>
              <w:top w:val="nil"/>
              <w:left w:val="nil"/>
              <w:bottom w:val="nil"/>
              <w:right w:val="nil"/>
            </w:tcBorders>
          </w:tcPr>
          <w:p w14:paraId="39FD1F89" w14:textId="52D32A84" w:rsidR="00407B2D" w:rsidRPr="001714B6" w:rsidRDefault="00407B2D" w:rsidP="00F9057A">
            <w:pPr>
              <w:widowControl w:val="0"/>
              <w:autoSpaceDE w:val="0"/>
              <w:autoSpaceDN w:val="0"/>
              <w:adjustRightInd w:val="0"/>
              <w:jc w:val="both"/>
              <w:rPr>
                <w:b/>
                <w:bCs/>
                <w:sz w:val="22"/>
                <w:szCs w:val="22"/>
              </w:rPr>
            </w:pPr>
            <w:r w:rsidRPr="008A467D">
              <w:rPr>
                <w:b/>
                <w:bCs/>
                <w:sz w:val="22"/>
                <w:szCs w:val="22"/>
              </w:rPr>
              <w:t xml:space="preserve">Variables </w:t>
            </w:r>
            <w:r w:rsidR="00F9057A">
              <w:rPr>
                <w:b/>
                <w:bCs/>
                <w:sz w:val="22"/>
                <w:szCs w:val="22"/>
              </w:rPr>
              <w:t>de desempeño sectorial</w:t>
            </w:r>
          </w:p>
        </w:tc>
        <w:tc>
          <w:tcPr>
            <w:tcW w:w="1584" w:type="dxa"/>
            <w:tcBorders>
              <w:top w:val="nil"/>
              <w:left w:val="nil"/>
              <w:bottom w:val="nil"/>
              <w:right w:val="nil"/>
            </w:tcBorders>
          </w:tcPr>
          <w:p w14:paraId="5B693184"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6D9D84F8"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3077601C" w14:textId="77777777" w:rsidTr="00B946EA">
        <w:trPr>
          <w:jc w:val="center"/>
        </w:trPr>
        <w:tc>
          <w:tcPr>
            <w:tcW w:w="3675" w:type="dxa"/>
            <w:tcBorders>
              <w:top w:val="nil"/>
              <w:left w:val="nil"/>
              <w:bottom w:val="nil"/>
              <w:right w:val="nil"/>
            </w:tcBorders>
          </w:tcPr>
          <w:p w14:paraId="431BD90C"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0B4897A7"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7AEEA686"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2CA2B0D2" w14:textId="77777777" w:rsidTr="00B946EA">
        <w:trPr>
          <w:jc w:val="center"/>
        </w:trPr>
        <w:tc>
          <w:tcPr>
            <w:tcW w:w="3675" w:type="dxa"/>
            <w:tcBorders>
              <w:top w:val="nil"/>
              <w:left w:val="nil"/>
              <w:bottom w:val="nil"/>
              <w:right w:val="nil"/>
            </w:tcBorders>
          </w:tcPr>
          <w:p w14:paraId="6EAEEEB5"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dummypibsector1</w:t>
            </w:r>
          </w:p>
        </w:tc>
        <w:tc>
          <w:tcPr>
            <w:tcW w:w="1584" w:type="dxa"/>
            <w:tcBorders>
              <w:top w:val="nil"/>
              <w:left w:val="nil"/>
              <w:bottom w:val="nil"/>
              <w:right w:val="nil"/>
            </w:tcBorders>
          </w:tcPr>
          <w:p w14:paraId="493436B3"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0.5334</w:t>
            </w:r>
          </w:p>
        </w:tc>
        <w:tc>
          <w:tcPr>
            <w:tcW w:w="1440" w:type="dxa"/>
            <w:tcBorders>
              <w:top w:val="nil"/>
              <w:left w:val="nil"/>
              <w:bottom w:val="nil"/>
              <w:right w:val="nil"/>
            </w:tcBorders>
          </w:tcPr>
          <w:p w14:paraId="73234F36"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1.154</w:t>
            </w:r>
          </w:p>
        </w:tc>
      </w:tr>
      <w:tr w:rsidR="00407B2D" w:rsidRPr="001714B6" w14:paraId="351B614E" w14:textId="77777777" w:rsidTr="00B946EA">
        <w:trPr>
          <w:jc w:val="center"/>
        </w:trPr>
        <w:tc>
          <w:tcPr>
            <w:tcW w:w="3675" w:type="dxa"/>
            <w:tcBorders>
              <w:top w:val="nil"/>
              <w:left w:val="nil"/>
              <w:bottom w:val="nil"/>
              <w:right w:val="nil"/>
            </w:tcBorders>
          </w:tcPr>
          <w:p w14:paraId="786638D5"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081834D9"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(0.6629)</w:t>
            </w:r>
          </w:p>
        </w:tc>
        <w:tc>
          <w:tcPr>
            <w:tcW w:w="1440" w:type="dxa"/>
            <w:tcBorders>
              <w:top w:val="nil"/>
              <w:left w:val="nil"/>
              <w:bottom w:val="nil"/>
              <w:right w:val="nil"/>
            </w:tcBorders>
          </w:tcPr>
          <w:p w14:paraId="23B014D1"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(0.824)</w:t>
            </w:r>
          </w:p>
        </w:tc>
      </w:tr>
      <w:tr w:rsidR="00407B2D" w:rsidRPr="001714B6" w14:paraId="1C7F5494" w14:textId="77777777" w:rsidTr="00B946EA">
        <w:trPr>
          <w:jc w:val="center"/>
        </w:trPr>
        <w:tc>
          <w:tcPr>
            <w:tcW w:w="3675" w:type="dxa"/>
            <w:tcBorders>
              <w:top w:val="nil"/>
              <w:left w:val="nil"/>
              <w:bottom w:val="nil"/>
              <w:right w:val="nil"/>
            </w:tcBorders>
          </w:tcPr>
          <w:p w14:paraId="7670BCD5" w14:textId="25137C08" w:rsidR="00407B2D" w:rsidRPr="001714B6" w:rsidRDefault="004A4FED" w:rsidP="00407B2D">
            <w:pPr>
              <w:widowControl w:val="0"/>
              <w:autoSpaceDE w:val="0"/>
              <w:autoSpaceDN w:val="0"/>
              <w:adjustRightInd w:val="0"/>
              <w:jc w:val="both"/>
              <w:rPr>
                <w:sz w:val="22"/>
                <w:szCs w:val="22"/>
              </w:rPr>
            </w:pPr>
            <w:r>
              <w:rPr>
                <w:sz w:val="22"/>
                <w:szCs w:val="22"/>
              </w:rPr>
              <w:t>dummypibsector1*País</w:t>
            </w:r>
          </w:p>
        </w:tc>
        <w:tc>
          <w:tcPr>
            <w:tcW w:w="1584" w:type="dxa"/>
            <w:tcBorders>
              <w:top w:val="nil"/>
              <w:left w:val="nil"/>
              <w:bottom w:val="nil"/>
              <w:right w:val="nil"/>
            </w:tcBorders>
          </w:tcPr>
          <w:p w14:paraId="40F00B7F"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53F5EC84" w14:textId="12873F7D" w:rsidR="00407B2D" w:rsidRPr="001714B6" w:rsidRDefault="00407B2D" w:rsidP="00407B2D">
            <w:pPr>
              <w:widowControl w:val="0"/>
              <w:autoSpaceDE w:val="0"/>
              <w:autoSpaceDN w:val="0"/>
              <w:adjustRightInd w:val="0"/>
              <w:jc w:val="center"/>
              <w:rPr>
                <w:sz w:val="22"/>
                <w:szCs w:val="22"/>
              </w:rPr>
            </w:pPr>
            <w:r w:rsidRPr="001714B6">
              <w:rPr>
                <w:sz w:val="22"/>
                <w:szCs w:val="22"/>
              </w:rPr>
              <w:t>-3.575**</w:t>
            </w:r>
          </w:p>
        </w:tc>
      </w:tr>
      <w:tr w:rsidR="00407B2D" w:rsidRPr="001714B6" w14:paraId="4BF6CE12" w14:textId="77777777" w:rsidTr="00B946EA">
        <w:trPr>
          <w:jc w:val="center"/>
        </w:trPr>
        <w:tc>
          <w:tcPr>
            <w:tcW w:w="3675" w:type="dxa"/>
            <w:tcBorders>
              <w:top w:val="nil"/>
              <w:left w:val="nil"/>
              <w:bottom w:val="nil"/>
              <w:right w:val="nil"/>
            </w:tcBorders>
          </w:tcPr>
          <w:p w14:paraId="5BDC7653"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1AA5140B"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49FEB872" w14:textId="699B4F1D" w:rsidR="00407B2D" w:rsidRPr="001714B6" w:rsidRDefault="00407B2D" w:rsidP="00407B2D">
            <w:pPr>
              <w:widowControl w:val="0"/>
              <w:autoSpaceDE w:val="0"/>
              <w:autoSpaceDN w:val="0"/>
              <w:adjustRightInd w:val="0"/>
              <w:jc w:val="center"/>
              <w:rPr>
                <w:sz w:val="22"/>
                <w:szCs w:val="22"/>
              </w:rPr>
            </w:pPr>
            <w:r w:rsidRPr="001714B6">
              <w:rPr>
                <w:sz w:val="22"/>
                <w:szCs w:val="22"/>
              </w:rPr>
              <w:t>(1.437)</w:t>
            </w:r>
          </w:p>
        </w:tc>
      </w:tr>
      <w:tr w:rsidR="00407B2D" w:rsidRPr="001714B6" w14:paraId="29F69BBA" w14:textId="77777777" w:rsidTr="00B946EA">
        <w:trPr>
          <w:jc w:val="center"/>
        </w:trPr>
        <w:tc>
          <w:tcPr>
            <w:tcW w:w="3675" w:type="dxa"/>
            <w:tcBorders>
              <w:top w:val="nil"/>
              <w:left w:val="nil"/>
              <w:bottom w:val="nil"/>
              <w:right w:val="nil"/>
            </w:tcBorders>
          </w:tcPr>
          <w:p w14:paraId="564C6E84"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crecimientoDecrecimiento</w:t>
            </w:r>
          </w:p>
        </w:tc>
        <w:tc>
          <w:tcPr>
            <w:tcW w:w="1584" w:type="dxa"/>
            <w:tcBorders>
              <w:top w:val="nil"/>
              <w:left w:val="nil"/>
              <w:bottom w:val="nil"/>
              <w:right w:val="nil"/>
            </w:tcBorders>
          </w:tcPr>
          <w:p w14:paraId="6AC4B057"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-1.7418</w:t>
            </w:r>
          </w:p>
        </w:tc>
        <w:tc>
          <w:tcPr>
            <w:tcW w:w="1440" w:type="dxa"/>
            <w:tcBorders>
              <w:top w:val="nil"/>
              <w:left w:val="nil"/>
              <w:bottom w:val="nil"/>
              <w:right w:val="nil"/>
            </w:tcBorders>
          </w:tcPr>
          <w:p w14:paraId="16ADF0AB" w14:textId="0636E7ED" w:rsidR="00407B2D" w:rsidRPr="001714B6" w:rsidRDefault="00407B2D" w:rsidP="00407B2D">
            <w:pPr>
              <w:widowControl w:val="0"/>
              <w:autoSpaceDE w:val="0"/>
              <w:autoSpaceDN w:val="0"/>
              <w:adjustRightInd w:val="0"/>
              <w:jc w:val="center"/>
              <w:rPr>
                <w:sz w:val="22"/>
                <w:szCs w:val="22"/>
              </w:rPr>
            </w:pPr>
            <w:r w:rsidRPr="001714B6">
              <w:rPr>
                <w:sz w:val="22"/>
                <w:szCs w:val="22"/>
              </w:rPr>
              <w:t>0.00325</w:t>
            </w:r>
          </w:p>
        </w:tc>
      </w:tr>
      <w:tr w:rsidR="00407B2D" w:rsidRPr="001714B6" w14:paraId="2DB53434" w14:textId="77777777" w:rsidTr="00B946EA">
        <w:trPr>
          <w:jc w:val="center"/>
        </w:trPr>
        <w:tc>
          <w:tcPr>
            <w:tcW w:w="3675" w:type="dxa"/>
            <w:tcBorders>
              <w:top w:val="nil"/>
              <w:left w:val="nil"/>
              <w:bottom w:val="nil"/>
              <w:right w:val="nil"/>
            </w:tcBorders>
          </w:tcPr>
          <w:p w14:paraId="74C0EC9C"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7F7A124B"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(1.267)</w:t>
            </w:r>
          </w:p>
        </w:tc>
        <w:tc>
          <w:tcPr>
            <w:tcW w:w="1440" w:type="dxa"/>
            <w:tcBorders>
              <w:top w:val="nil"/>
              <w:left w:val="nil"/>
              <w:bottom w:val="nil"/>
              <w:right w:val="nil"/>
            </w:tcBorders>
          </w:tcPr>
          <w:p w14:paraId="091CB76B"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(0.0786)</w:t>
            </w:r>
          </w:p>
        </w:tc>
      </w:tr>
      <w:tr w:rsidR="00407B2D" w:rsidRPr="001714B6" w14:paraId="37E00D3B" w14:textId="77777777" w:rsidTr="00B946EA">
        <w:trPr>
          <w:jc w:val="center"/>
        </w:trPr>
        <w:tc>
          <w:tcPr>
            <w:tcW w:w="3675" w:type="dxa"/>
            <w:tcBorders>
              <w:top w:val="nil"/>
              <w:left w:val="nil"/>
              <w:bottom w:val="nil"/>
              <w:right w:val="nil"/>
            </w:tcBorders>
          </w:tcPr>
          <w:p w14:paraId="1BA06870"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dummypibsector2</w:t>
            </w:r>
          </w:p>
        </w:tc>
        <w:tc>
          <w:tcPr>
            <w:tcW w:w="1584" w:type="dxa"/>
            <w:tcBorders>
              <w:top w:val="nil"/>
              <w:left w:val="nil"/>
              <w:bottom w:val="nil"/>
              <w:right w:val="nil"/>
            </w:tcBorders>
          </w:tcPr>
          <w:p w14:paraId="33C7F803"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-1.372*</w:t>
            </w:r>
          </w:p>
        </w:tc>
        <w:tc>
          <w:tcPr>
            <w:tcW w:w="1440" w:type="dxa"/>
            <w:tcBorders>
              <w:top w:val="nil"/>
              <w:left w:val="nil"/>
              <w:bottom w:val="nil"/>
              <w:right w:val="nil"/>
            </w:tcBorders>
          </w:tcPr>
          <w:p w14:paraId="19825413"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0.4508</w:t>
            </w:r>
          </w:p>
        </w:tc>
      </w:tr>
      <w:tr w:rsidR="00407B2D" w:rsidRPr="001714B6" w14:paraId="4B03CB1A" w14:textId="77777777" w:rsidTr="00B946EA">
        <w:trPr>
          <w:jc w:val="center"/>
        </w:trPr>
        <w:tc>
          <w:tcPr>
            <w:tcW w:w="3675" w:type="dxa"/>
            <w:tcBorders>
              <w:top w:val="nil"/>
              <w:left w:val="nil"/>
              <w:bottom w:val="nil"/>
              <w:right w:val="nil"/>
            </w:tcBorders>
          </w:tcPr>
          <w:p w14:paraId="29687058"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23155F65"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(0.7435)</w:t>
            </w:r>
          </w:p>
        </w:tc>
        <w:tc>
          <w:tcPr>
            <w:tcW w:w="1440" w:type="dxa"/>
            <w:tcBorders>
              <w:top w:val="nil"/>
              <w:left w:val="nil"/>
              <w:bottom w:val="nil"/>
              <w:right w:val="nil"/>
            </w:tcBorders>
          </w:tcPr>
          <w:p w14:paraId="05F960D0"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(0.646)</w:t>
            </w:r>
          </w:p>
        </w:tc>
      </w:tr>
      <w:tr w:rsidR="00407B2D" w:rsidRPr="001714B6" w14:paraId="3140497F" w14:textId="77777777" w:rsidTr="00B946EA">
        <w:trPr>
          <w:jc w:val="center"/>
        </w:trPr>
        <w:tc>
          <w:tcPr>
            <w:tcW w:w="3675" w:type="dxa"/>
            <w:tcBorders>
              <w:top w:val="nil"/>
              <w:left w:val="nil"/>
              <w:bottom w:val="nil"/>
              <w:right w:val="nil"/>
            </w:tcBorders>
          </w:tcPr>
          <w:p w14:paraId="6B937F7B" w14:textId="77777777" w:rsidR="00407B2D" w:rsidRPr="001714B6" w:rsidRDefault="00407B2D" w:rsidP="00407B2D">
            <w:pPr>
              <w:widowControl w:val="0"/>
              <w:autoSpaceDE w:val="0"/>
              <w:autoSpaceDN w:val="0"/>
              <w:adjustRightInd w:val="0"/>
              <w:jc w:val="both"/>
              <w:rPr>
                <w:b/>
                <w:bCs/>
                <w:sz w:val="22"/>
                <w:szCs w:val="22"/>
              </w:rPr>
            </w:pPr>
            <w:r w:rsidRPr="001714B6">
              <w:rPr>
                <w:b/>
                <w:bCs/>
                <w:sz w:val="22"/>
                <w:szCs w:val="22"/>
              </w:rPr>
              <w:t>Variables de control</w:t>
            </w:r>
          </w:p>
        </w:tc>
        <w:tc>
          <w:tcPr>
            <w:tcW w:w="1584" w:type="dxa"/>
            <w:tcBorders>
              <w:top w:val="nil"/>
              <w:left w:val="nil"/>
              <w:bottom w:val="nil"/>
              <w:right w:val="nil"/>
            </w:tcBorders>
          </w:tcPr>
          <w:p w14:paraId="61AD7E03"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57C810FB"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40999CEE" w14:textId="77777777" w:rsidTr="00B946EA">
        <w:trPr>
          <w:jc w:val="center"/>
        </w:trPr>
        <w:tc>
          <w:tcPr>
            <w:tcW w:w="3675" w:type="dxa"/>
            <w:tcBorders>
              <w:top w:val="nil"/>
              <w:left w:val="nil"/>
              <w:bottom w:val="nil"/>
              <w:right w:val="nil"/>
            </w:tcBorders>
          </w:tcPr>
          <w:p w14:paraId="0A505E96"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00DD77C7"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4B48BD79"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48510CA2" w14:textId="77777777" w:rsidTr="00B946EA">
        <w:trPr>
          <w:jc w:val="center"/>
        </w:trPr>
        <w:tc>
          <w:tcPr>
            <w:tcW w:w="3675" w:type="dxa"/>
            <w:tcBorders>
              <w:top w:val="nil"/>
              <w:left w:val="nil"/>
              <w:bottom w:val="nil"/>
              <w:right w:val="nil"/>
            </w:tcBorders>
          </w:tcPr>
          <w:p w14:paraId="602630D3"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Per (Price earnings ratio)</w:t>
            </w:r>
          </w:p>
        </w:tc>
        <w:tc>
          <w:tcPr>
            <w:tcW w:w="1584" w:type="dxa"/>
            <w:tcBorders>
              <w:top w:val="nil"/>
              <w:left w:val="nil"/>
              <w:bottom w:val="nil"/>
              <w:right w:val="nil"/>
            </w:tcBorders>
          </w:tcPr>
          <w:p w14:paraId="0F358687"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-0.00009</w:t>
            </w:r>
          </w:p>
        </w:tc>
        <w:tc>
          <w:tcPr>
            <w:tcW w:w="1440" w:type="dxa"/>
            <w:tcBorders>
              <w:top w:val="nil"/>
              <w:left w:val="nil"/>
              <w:bottom w:val="nil"/>
              <w:right w:val="nil"/>
            </w:tcBorders>
          </w:tcPr>
          <w:p w14:paraId="13769C26"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0.00245*</w:t>
            </w:r>
          </w:p>
        </w:tc>
      </w:tr>
      <w:tr w:rsidR="00407B2D" w:rsidRPr="001714B6" w14:paraId="2529AEB4" w14:textId="77777777" w:rsidTr="00B946EA">
        <w:trPr>
          <w:jc w:val="center"/>
        </w:trPr>
        <w:tc>
          <w:tcPr>
            <w:tcW w:w="3675" w:type="dxa"/>
            <w:tcBorders>
              <w:top w:val="nil"/>
              <w:left w:val="nil"/>
              <w:bottom w:val="nil"/>
              <w:right w:val="nil"/>
            </w:tcBorders>
          </w:tcPr>
          <w:p w14:paraId="685E90D8"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3A83399A"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(0.00028)</w:t>
            </w:r>
          </w:p>
        </w:tc>
        <w:tc>
          <w:tcPr>
            <w:tcW w:w="1440" w:type="dxa"/>
            <w:tcBorders>
              <w:top w:val="nil"/>
              <w:left w:val="nil"/>
              <w:bottom w:val="nil"/>
              <w:right w:val="nil"/>
            </w:tcBorders>
          </w:tcPr>
          <w:p w14:paraId="5745A076"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(0.00136)</w:t>
            </w:r>
          </w:p>
        </w:tc>
      </w:tr>
      <w:tr w:rsidR="00407B2D" w:rsidRPr="001714B6" w14:paraId="0DD0E91B" w14:textId="77777777" w:rsidTr="00B946EA">
        <w:trPr>
          <w:jc w:val="center"/>
        </w:trPr>
        <w:tc>
          <w:tcPr>
            <w:tcW w:w="3675" w:type="dxa"/>
            <w:tcBorders>
              <w:top w:val="nil"/>
              <w:left w:val="nil"/>
              <w:bottom w:val="nil"/>
              <w:right w:val="nil"/>
            </w:tcBorders>
          </w:tcPr>
          <w:p w14:paraId="4B1FEF14"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tamañoEmpresa_M (MM USD)</w:t>
            </w:r>
          </w:p>
        </w:tc>
        <w:tc>
          <w:tcPr>
            <w:tcW w:w="1584" w:type="dxa"/>
            <w:tcBorders>
              <w:top w:val="nil"/>
              <w:left w:val="nil"/>
              <w:bottom w:val="nil"/>
              <w:right w:val="nil"/>
            </w:tcBorders>
          </w:tcPr>
          <w:p w14:paraId="1CCCF917"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-0.00008</w:t>
            </w:r>
          </w:p>
        </w:tc>
        <w:tc>
          <w:tcPr>
            <w:tcW w:w="1440" w:type="dxa"/>
            <w:tcBorders>
              <w:top w:val="nil"/>
              <w:left w:val="nil"/>
              <w:bottom w:val="nil"/>
              <w:right w:val="nil"/>
            </w:tcBorders>
          </w:tcPr>
          <w:p w14:paraId="7E7C9E46"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-0.00014**</w:t>
            </w:r>
          </w:p>
        </w:tc>
      </w:tr>
      <w:tr w:rsidR="00407B2D" w:rsidRPr="001714B6" w14:paraId="3241AE58" w14:textId="77777777" w:rsidTr="00B946EA">
        <w:trPr>
          <w:jc w:val="center"/>
        </w:trPr>
        <w:tc>
          <w:tcPr>
            <w:tcW w:w="3675" w:type="dxa"/>
            <w:tcBorders>
              <w:top w:val="nil"/>
              <w:left w:val="nil"/>
              <w:bottom w:val="nil"/>
              <w:right w:val="nil"/>
            </w:tcBorders>
          </w:tcPr>
          <w:p w14:paraId="228B6616"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4C91BDE4"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(0.00013)</w:t>
            </w:r>
          </w:p>
        </w:tc>
        <w:tc>
          <w:tcPr>
            <w:tcW w:w="1440" w:type="dxa"/>
            <w:tcBorders>
              <w:top w:val="nil"/>
              <w:left w:val="nil"/>
              <w:bottom w:val="nil"/>
              <w:right w:val="nil"/>
            </w:tcBorders>
          </w:tcPr>
          <w:p w14:paraId="0E2EBE28"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(0.00006)</w:t>
            </w:r>
          </w:p>
        </w:tc>
      </w:tr>
      <w:tr w:rsidR="00407B2D" w:rsidRPr="001714B6" w14:paraId="2554CC98" w14:textId="77777777" w:rsidTr="00B946EA">
        <w:trPr>
          <w:jc w:val="center"/>
        </w:trPr>
        <w:tc>
          <w:tcPr>
            <w:tcW w:w="3675" w:type="dxa"/>
            <w:tcBorders>
              <w:top w:val="nil"/>
              <w:left w:val="nil"/>
              <w:bottom w:val="nil"/>
              <w:right w:val="nil"/>
            </w:tcBorders>
          </w:tcPr>
          <w:p w14:paraId="1CCA2715"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rentabilidadActivos</w:t>
            </w:r>
          </w:p>
        </w:tc>
        <w:tc>
          <w:tcPr>
            <w:tcW w:w="1584" w:type="dxa"/>
            <w:tcBorders>
              <w:top w:val="nil"/>
              <w:left w:val="nil"/>
              <w:bottom w:val="nil"/>
              <w:right w:val="nil"/>
            </w:tcBorders>
          </w:tcPr>
          <w:p w14:paraId="7337CFBA" w14:textId="036C2127" w:rsidR="00407B2D" w:rsidRPr="001714B6" w:rsidRDefault="00407B2D" w:rsidP="00407B2D">
            <w:pPr>
              <w:widowControl w:val="0"/>
              <w:autoSpaceDE w:val="0"/>
              <w:autoSpaceDN w:val="0"/>
              <w:adjustRightInd w:val="0"/>
              <w:jc w:val="center"/>
              <w:rPr>
                <w:sz w:val="22"/>
                <w:szCs w:val="22"/>
              </w:rPr>
            </w:pPr>
            <w:r w:rsidRPr="001714B6">
              <w:rPr>
                <w:sz w:val="22"/>
                <w:szCs w:val="22"/>
              </w:rPr>
              <w:t>-1.126***</w:t>
            </w:r>
          </w:p>
        </w:tc>
        <w:tc>
          <w:tcPr>
            <w:tcW w:w="1440" w:type="dxa"/>
            <w:tcBorders>
              <w:top w:val="nil"/>
              <w:left w:val="nil"/>
              <w:bottom w:val="nil"/>
              <w:right w:val="nil"/>
            </w:tcBorders>
          </w:tcPr>
          <w:p w14:paraId="3F290FED"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-0.193**</w:t>
            </w:r>
          </w:p>
        </w:tc>
      </w:tr>
      <w:tr w:rsidR="00407B2D" w:rsidRPr="001714B6" w14:paraId="24DAE6BA" w14:textId="77777777" w:rsidTr="00B946EA">
        <w:trPr>
          <w:jc w:val="center"/>
        </w:trPr>
        <w:tc>
          <w:tcPr>
            <w:tcW w:w="3675" w:type="dxa"/>
            <w:tcBorders>
              <w:top w:val="nil"/>
              <w:left w:val="nil"/>
              <w:bottom w:val="nil"/>
              <w:right w:val="nil"/>
            </w:tcBorders>
          </w:tcPr>
          <w:p w14:paraId="4139A05C"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5032A73C"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(0.1086)</w:t>
            </w:r>
          </w:p>
        </w:tc>
        <w:tc>
          <w:tcPr>
            <w:tcW w:w="1440" w:type="dxa"/>
            <w:tcBorders>
              <w:top w:val="nil"/>
              <w:left w:val="nil"/>
              <w:bottom w:val="nil"/>
              <w:right w:val="nil"/>
            </w:tcBorders>
          </w:tcPr>
          <w:p w14:paraId="42467A9E"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(0.0869)</w:t>
            </w:r>
          </w:p>
        </w:tc>
      </w:tr>
      <w:tr w:rsidR="00407B2D" w:rsidRPr="001714B6" w14:paraId="1C483B49" w14:textId="77777777" w:rsidTr="00B946EA">
        <w:trPr>
          <w:jc w:val="center"/>
        </w:trPr>
        <w:tc>
          <w:tcPr>
            <w:tcW w:w="3675" w:type="dxa"/>
            <w:tcBorders>
              <w:top w:val="nil"/>
              <w:left w:val="nil"/>
              <w:bottom w:val="nil"/>
              <w:right w:val="nil"/>
            </w:tcBorders>
          </w:tcPr>
          <w:p w14:paraId="7CD2338D"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impuestosDiferidos_M (MM USD)</w:t>
            </w:r>
          </w:p>
        </w:tc>
        <w:tc>
          <w:tcPr>
            <w:tcW w:w="1584" w:type="dxa"/>
            <w:tcBorders>
              <w:top w:val="nil"/>
              <w:left w:val="nil"/>
              <w:bottom w:val="nil"/>
              <w:right w:val="nil"/>
            </w:tcBorders>
          </w:tcPr>
          <w:p w14:paraId="6BA182C9"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2E235387"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0.0047***</w:t>
            </w:r>
          </w:p>
        </w:tc>
      </w:tr>
      <w:tr w:rsidR="00407B2D" w:rsidRPr="001714B6" w14:paraId="7B4C8014" w14:textId="77777777" w:rsidTr="00B946EA">
        <w:trPr>
          <w:jc w:val="center"/>
        </w:trPr>
        <w:tc>
          <w:tcPr>
            <w:tcW w:w="3675" w:type="dxa"/>
            <w:tcBorders>
              <w:top w:val="nil"/>
              <w:left w:val="nil"/>
              <w:bottom w:val="nil"/>
              <w:right w:val="nil"/>
            </w:tcBorders>
          </w:tcPr>
          <w:p w14:paraId="1A171FD0"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2F9E6541"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6A9F45FA"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(0.0017)</w:t>
            </w:r>
          </w:p>
        </w:tc>
      </w:tr>
      <w:tr w:rsidR="00407B2D" w:rsidRPr="001714B6" w14:paraId="6157A075" w14:textId="77777777" w:rsidTr="00B946EA">
        <w:trPr>
          <w:jc w:val="center"/>
        </w:trPr>
        <w:tc>
          <w:tcPr>
            <w:tcW w:w="3675" w:type="dxa"/>
            <w:tcBorders>
              <w:top w:val="nil"/>
              <w:left w:val="nil"/>
              <w:bottom w:val="nil"/>
              <w:right w:val="nil"/>
            </w:tcBorders>
          </w:tcPr>
          <w:p w14:paraId="40DA6D8F"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tasaImpuestos</w:t>
            </w:r>
          </w:p>
        </w:tc>
        <w:tc>
          <w:tcPr>
            <w:tcW w:w="1584" w:type="dxa"/>
            <w:tcBorders>
              <w:top w:val="nil"/>
              <w:left w:val="nil"/>
              <w:bottom w:val="nil"/>
              <w:right w:val="nil"/>
            </w:tcBorders>
          </w:tcPr>
          <w:p w14:paraId="69B0987B"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36D6967A"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-0.0355**</w:t>
            </w:r>
          </w:p>
        </w:tc>
      </w:tr>
      <w:tr w:rsidR="00407B2D" w:rsidRPr="001714B6" w14:paraId="1EB5B6F7" w14:textId="77777777" w:rsidTr="00B946EA">
        <w:trPr>
          <w:jc w:val="center"/>
        </w:trPr>
        <w:tc>
          <w:tcPr>
            <w:tcW w:w="3675" w:type="dxa"/>
            <w:tcBorders>
              <w:top w:val="nil"/>
              <w:left w:val="nil"/>
              <w:bottom w:val="nil"/>
              <w:right w:val="nil"/>
            </w:tcBorders>
          </w:tcPr>
          <w:p w14:paraId="79B3960C"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6674CC97"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29D9AC5A" w14:textId="66409588" w:rsidR="00407B2D" w:rsidRPr="001714B6" w:rsidRDefault="00407B2D" w:rsidP="00407B2D">
            <w:pPr>
              <w:widowControl w:val="0"/>
              <w:autoSpaceDE w:val="0"/>
              <w:autoSpaceDN w:val="0"/>
              <w:adjustRightInd w:val="0"/>
              <w:jc w:val="center"/>
              <w:rPr>
                <w:sz w:val="22"/>
                <w:szCs w:val="22"/>
              </w:rPr>
            </w:pPr>
            <w:r w:rsidRPr="001714B6">
              <w:rPr>
                <w:sz w:val="22"/>
                <w:szCs w:val="22"/>
              </w:rPr>
              <w:t>(0.0141)</w:t>
            </w:r>
          </w:p>
        </w:tc>
      </w:tr>
      <w:tr w:rsidR="00407B2D" w:rsidRPr="001714B6" w14:paraId="05FCAECA" w14:textId="77777777" w:rsidTr="00B946EA">
        <w:trPr>
          <w:jc w:val="center"/>
        </w:trPr>
        <w:tc>
          <w:tcPr>
            <w:tcW w:w="3675" w:type="dxa"/>
            <w:tcBorders>
              <w:top w:val="nil"/>
              <w:left w:val="nil"/>
              <w:bottom w:val="nil"/>
              <w:right w:val="nil"/>
            </w:tcBorders>
          </w:tcPr>
          <w:p w14:paraId="3C38D309"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tasaImpuestos5Años</w:t>
            </w:r>
          </w:p>
        </w:tc>
        <w:tc>
          <w:tcPr>
            <w:tcW w:w="1584" w:type="dxa"/>
            <w:tcBorders>
              <w:top w:val="nil"/>
              <w:left w:val="nil"/>
              <w:bottom w:val="nil"/>
              <w:right w:val="nil"/>
            </w:tcBorders>
          </w:tcPr>
          <w:p w14:paraId="40E4B7C1"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216A4C45" w14:textId="56B55D5E" w:rsidR="00407B2D" w:rsidRPr="001714B6" w:rsidRDefault="00407B2D" w:rsidP="00407B2D">
            <w:pPr>
              <w:widowControl w:val="0"/>
              <w:autoSpaceDE w:val="0"/>
              <w:autoSpaceDN w:val="0"/>
              <w:adjustRightInd w:val="0"/>
              <w:jc w:val="center"/>
              <w:rPr>
                <w:sz w:val="22"/>
                <w:szCs w:val="22"/>
              </w:rPr>
            </w:pPr>
            <w:r w:rsidRPr="001714B6">
              <w:rPr>
                <w:sz w:val="22"/>
                <w:szCs w:val="22"/>
              </w:rPr>
              <w:t>0.2018***</w:t>
            </w:r>
          </w:p>
        </w:tc>
      </w:tr>
      <w:tr w:rsidR="00407B2D" w:rsidRPr="001714B6" w14:paraId="127EA098" w14:textId="77777777" w:rsidTr="00B946EA">
        <w:trPr>
          <w:jc w:val="center"/>
        </w:trPr>
        <w:tc>
          <w:tcPr>
            <w:tcW w:w="3675" w:type="dxa"/>
            <w:tcBorders>
              <w:top w:val="nil"/>
              <w:left w:val="nil"/>
              <w:bottom w:val="nil"/>
              <w:right w:val="nil"/>
            </w:tcBorders>
          </w:tcPr>
          <w:p w14:paraId="49CA25F1"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2296BDEB"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0C00B724"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(0.0519)</w:t>
            </w:r>
          </w:p>
        </w:tc>
      </w:tr>
      <w:tr w:rsidR="00407B2D" w:rsidRPr="001714B6" w14:paraId="4AF36BFD" w14:textId="77777777" w:rsidTr="00B946EA">
        <w:trPr>
          <w:jc w:val="center"/>
        </w:trPr>
        <w:tc>
          <w:tcPr>
            <w:tcW w:w="3675" w:type="dxa"/>
            <w:tcBorders>
              <w:top w:val="nil"/>
              <w:left w:val="nil"/>
              <w:bottom w:val="nil"/>
              <w:right w:val="nil"/>
            </w:tcBorders>
          </w:tcPr>
          <w:p w14:paraId="1EE3A9C2"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deudaExterna_M (MM USD)</w:t>
            </w:r>
          </w:p>
        </w:tc>
        <w:tc>
          <w:tcPr>
            <w:tcW w:w="1584" w:type="dxa"/>
            <w:tcBorders>
              <w:top w:val="nil"/>
              <w:left w:val="nil"/>
              <w:bottom w:val="nil"/>
              <w:right w:val="nil"/>
            </w:tcBorders>
          </w:tcPr>
          <w:p w14:paraId="311B49D6"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0.0215</w:t>
            </w:r>
          </w:p>
        </w:tc>
        <w:tc>
          <w:tcPr>
            <w:tcW w:w="1440" w:type="dxa"/>
            <w:tcBorders>
              <w:top w:val="nil"/>
              <w:left w:val="nil"/>
              <w:bottom w:val="nil"/>
              <w:right w:val="nil"/>
            </w:tcBorders>
          </w:tcPr>
          <w:p w14:paraId="7EEC512F"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0.119*</w:t>
            </w:r>
          </w:p>
        </w:tc>
      </w:tr>
      <w:tr w:rsidR="00407B2D" w:rsidRPr="001714B6" w14:paraId="55EA4129" w14:textId="77777777" w:rsidTr="00B946EA">
        <w:trPr>
          <w:jc w:val="center"/>
        </w:trPr>
        <w:tc>
          <w:tcPr>
            <w:tcW w:w="3675" w:type="dxa"/>
            <w:tcBorders>
              <w:top w:val="nil"/>
              <w:left w:val="nil"/>
              <w:bottom w:val="nil"/>
              <w:right w:val="nil"/>
            </w:tcBorders>
          </w:tcPr>
          <w:p w14:paraId="7782A2BF"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5F262917"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(0.0707)</w:t>
            </w:r>
          </w:p>
        </w:tc>
        <w:tc>
          <w:tcPr>
            <w:tcW w:w="1440" w:type="dxa"/>
            <w:tcBorders>
              <w:top w:val="nil"/>
              <w:left w:val="nil"/>
              <w:bottom w:val="nil"/>
              <w:right w:val="nil"/>
            </w:tcBorders>
          </w:tcPr>
          <w:p w14:paraId="5603413A"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(0.0721)</w:t>
            </w:r>
          </w:p>
        </w:tc>
      </w:tr>
      <w:tr w:rsidR="00407B2D" w:rsidRPr="001714B6" w14:paraId="3E7C3220" w14:textId="77777777" w:rsidTr="00B946EA">
        <w:trPr>
          <w:jc w:val="center"/>
        </w:trPr>
        <w:tc>
          <w:tcPr>
            <w:tcW w:w="3675" w:type="dxa"/>
            <w:tcBorders>
              <w:top w:val="nil"/>
              <w:left w:val="nil"/>
              <w:bottom w:val="nil"/>
              <w:right w:val="nil"/>
            </w:tcBorders>
          </w:tcPr>
          <w:p w14:paraId="16D29BBD"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deudaInterna_M (MM USD)</w:t>
            </w:r>
          </w:p>
        </w:tc>
        <w:tc>
          <w:tcPr>
            <w:tcW w:w="1584" w:type="dxa"/>
            <w:tcBorders>
              <w:top w:val="nil"/>
              <w:left w:val="nil"/>
              <w:bottom w:val="nil"/>
              <w:right w:val="nil"/>
            </w:tcBorders>
          </w:tcPr>
          <w:p w14:paraId="7DE92645"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-0.0077</w:t>
            </w:r>
          </w:p>
        </w:tc>
        <w:tc>
          <w:tcPr>
            <w:tcW w:w="1440" w:type="dxa"/>
            <w:tcBorders>
              <w:top w:val="nil"/>
              <w:left w:val="nil"/>
              <w:bottom w:val="nil"/>
              <w:right w:val="nil"/>
            </w:tcBorders>
          </w:tcPr>
          <w:p w14:paraId="746E172E" w14:textId="06CBCC9F" w:rsidR="00407B2D" w:rsidRPr="001714B6" w:rsidRDefault="00407B2D" w:rsidP="00407B2D">
            <w:pPr>
              <w:widowControl w:val="0"/>
              <w:autoSpaceDE w:val="0"/>
              <w:autoSpaceDN w:val="0"/>
              <w:adjustRightInd w:val="0"/>
              <w:jc w:val="center"/>
              <w:rPr>
                <w:sz w:val="22"/>
                <w:szCs w:val="22"/>
              </w:rPr>
            </w:pPr>
            <w:r w:rsidRPr="001714B6">
              <w:rPr>
                <w:sz w:val="22"/>
                <w:szCs w:val="22"/>
              </w:rPr>
              <w:t>0.0687</w:t>
            </w:r>
          </w:p>
        </w:tc>
      </w:tr>
      <w:tr w:rsidR="00407B2D" w:rsidRPr="001714B6" w14:paraId="37F18C96" w14:textId="77777777" w:rsidTr="00B946EA">
        <w:trPr>
          <w:jc w:val="center"/>
        </w:trPr>
        <w:tc>
          <w:tcPr>
            <w:tcW w:w="3675" w:type="dxa"/>
            <w:tcBorders>
              <w:top w:val="nil"/>
              <w:left w:val="nil"/>
              <w:bottom w:val="nil"/>
              <w:right w:val="nil"/>
            </w:tcBorders>
          </w:tcPr>
          <w:p w14:paraId="3D9BDD8D"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436D270B"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(0.0463)</w:t>
            </w:r>
          </w:p>
        </w:tc>
        <w:tc>
          <w:tcPr>
            <w:tcW w:w="1440" w:type="dxa"/>
            <w:tcBorders>
              <w:top w:val="nil"/>
              <w:left w:val="nil"/>
              <w:bottom w:val="nil"/>
              <w:right w:val="nil"/>
            </w:tcBorders>
          </w:tcPr>
          <w:p w14:paraId="4D7FB939"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(0.0500)</w:t>
            </w:r>
          </w:p>
        </w:tc>
      </w:tr>
      <w:tr w:rsidR="00407B2D" w:rsidRPr="001714B6" w14:paraId="17E2EC33" w14:textId="77777777" w:rsidTr="00B946EA">
        <w:trPr>
          <w:jc w:val="center"/>
        </w:trPr>
        <w:tc>
          <w:tcPr>
            <w:tcW w:w="3675" w:type="dxa"/>
            <w:tcBorders>
              <w:top w:val="nil"/>
              <w:left w:val="nil"/>
              <w:bottom w:val="nil"/>
              <w:right w:val="nil"/>
            </w:tcBorders>
          </w:tcPr>
          <w:p w14:paraId="48AB17E8"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pibSector_M (MM USD)</w:t>
            </w:r>
          </w:p>
        </w:tc>
        <w:tc>
          <w:tcPr>
            <w:tcW w:w="1584" w:type="dxa"/>
            <w:tcBorders>
              <w:top w:val="nil"/>
              <w:left w:val="nil"/>
              <w:bottom w:val="nil"/>
              <w:right w:val="nil"/>
            </w:tcBorders>
          </w:tcPr>
          <w:p w14:paraId="1E287329"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0.295***</w:t>
            </w:r>
          </w:p>
        </w:tc>
        <w:tc>
          <w:tcPr>
            <w:tcW w:w="1440" w:type="dxa"/>
            <w:tcBorders>
              <w:top w:val="nil"/>
              <w:left w:val="nil"/>
              <w:bottom w:val="nil"/>
              <w:right w:val="nil"/>
            </w:tcBorders>
          </w:tcPr>
          <w:p w14:paraId="10D6B4CE"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0.0065</w:t>
            </w:r>
          </w:p>
        </w:tc>
      </w:tr>
      <w:tr w:rsidR="00407B2D" w:rsidRPr="001714B6" w14:paraId="3F55619D" w14:textId="77777777" w:rsidTr="00B946EA">
        <w:trPr>
          <w:jc w:val="center"/>
        </w:trPr>
        <w:tc>
          <w:tcPr>
            <w:tcW w:w="3675" w:type="dxa"/>
            <w:tcBorders>
              <w:top w:val="nil"/>
              <w:left w:val="nil"/>
              <w:bottom w:val="nil"/>
              <w:right w:val="nil"/>
            </w:tcBorders>
          </w:tcPr>
          <w:p w14:paraId="778C1E31"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64EDC2EF"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(0.0798)</w:t>
            </w:r>
          </w:p>
        </w:tc>
        <w:tc>
          <w:tcPr>
            <w:tcW w:w="1440" w:type="dxa"/>
            <w:tcBorders>
              <w:top w:val="nil"/>
              <w:left w:val="nil"/>
              <w:bottom w:val="nil"/>
              <w:right w:val="nil"/>
            </w:tcBorders>
          </w:tcPr>
          <w:p w14:paraId="105C487B"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(0.0439)</w:t>
            </w:r>
          </w:p>
        </w:tc>
      </w:tr>
      <w:tr w:rsidR="00407B2D" w:rsidRPr="001714B6" w14:paraId="455AF07C" w14:textId="77777777" w:rsidTr="00B946EA">
        <w:trPr>
          <w:jc w:val="center"/>
        </w:trPr>
        <w:tc>
          <w:tcPr>
            <w:tcW w:w="3675" w:type="dxa"/>
            <w:tcBorders>
              <w:top w:val="nil"/>
              <w:left w:val="nil"/>
              <w:bottom w:val="nil"/>
              <w:right w:val="nil"/>
            </w:tcBorders>
          </w:tcPr>
          <w:p w14:paraId="498E9016"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roa2</w:t>
            </w:r>
          </w:p>
        </w:tc>
        <w:tc>
          <w:tcPr>
            <w:tcW w:w="1584" w:type="dxa"/>
            <w:tcBorders>
              <w:top w:val="nil"/>
              <w:left w:val="nil"/>
              <w:bottom w:val="nil"/>
              <w:right w:val="nil"/>
            </w:tcBorders>
          </w:tcPr>
          <w:p w14:paraId="7213ABBD"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-4.694</w:t>
            </w:r>
          </w:p>
        </w:tc>
        <w:tc>
          <w:tcPr>
            <w:tcW w:w="1440" w:type="dxa"/>
            <w:tcBorders>
              <w:top w:val="nil"/>
              <w:left w:val="nil"/>
              <w:bottom w:val="nil"/>
              <w:right w:val="nil"/>
            </w:tcBorders>
          </w:tcPr>
          <w:p w14:paraId="77B0668C"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-6.247</w:t>
            </w:r>
          </w:p>
        </w:tc>
      </w:tr>
      <w:tr w:rsidR="00407B2D" w:rsidRPr="001714B6" w14:paraId="7433FB0D" w14:textId="77777777" w:rsidTr="00B946EA">
        <w:trPr>
          <w:jc w:val="center"/>
        </w:trPr>
        <w:tc>
          <w:tcPr>
            <w:tcW w:w="3675" w:type="dxa"/>
            <w:tcBorders>
              <w:top w:val="nil"/>
              <w:left w:val="nil"/>
              <w:bottom w:val="nil"/>
              <w:right w:val="nil"/>
            </w:tcBorders>
          </w:tcPr>
          <w:p w14:paraId="4CC8A6FA"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0F8483F0"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(20.886)</w:t>
            </w:r>
          </w:p>
        </w:tc>
        <w:tc>
          <w:tcPr>
            <w:tcW w:w="1440" w:type="dxa"/>
            <w:tcBorders>
              <w:top w:val="nil"/>
              <w:left w:val="nil"/>
              <w:bottom w:val="nil"/>
              <w:right w:val="nil"/>
            </w:tcBorders>
          </w:tcPr>
          <w:p w14:paraId="69C636DF"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(11.426)</w:t>
            </w:r>
          </w:p>
        </w:tc>
      </w:tr>
      <w:tr w:rsidR="00407B2D" w:rsidRPr="001714B6" w14:paraId="124978AB" w14:textId="77777777" w:rsidTr="00B946EA">
        <w:trPr>
          <w:jc w:val="center"/>
        </w:trPr>
        <w:tc>
          <w:tcPr>
            <w:tcW w:w="3675" w:type="dxa"/>
            <w:tcBorders>
              <w:top w:val="nil"/>
              <w:left w:val="nil"/>
              <w:bottom w:val="nil"/>
              <w:right w:val="nil"/>
            </w:tcBorders>
          </w:tcPr>
          <w:p w14:paraId="09330D19"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Lagroe</w:t>
            </w:r>
          </w:p>
        </w:tc>
        <w:tc>
          <w:tcPr>
            <w:tcW w:w="1584" w:type="dxa"/>
            <w:tcBorders>
              <w:top w:val="nil"/>
              <w:left w:val="nil"/>
              <w:bottom w:val="nil"/>
              <w:right w:val="nil"/>
            </w:tcBorders>
          </w:tcPr>
          <w:p w14:paraId="626C5EC0"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0.4323***</w:t>
            </w:r>
          </w:p>
        </w:tc>
        <w:tc>
          <w:tcPr>
            <w:tcW w:w="1440" w:type="dxa"/>
            <w:tcBorders>
              <w:top w:val="nil"/>
              <w:left w:val="nil"/>
              <w:bottom w:val="nil"/>
              <w:right w:val="nil"/>
            </w:tcBorders>
          </w:tcPr>
          <w:p w14:paraId="727BCBE1"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0.0636</w:t>
            </w:r>
          </w:p>
        </w:tc>
      </w:tr>
      <w:tr w:rsidR="00407B2D" w:rsidRPr="001714B6" w14:paraId="1C823F26" w14:textId="77777777" w:rsidTr="00B946EA">
        <w:trPr>
          <w:jc w:val="center"/>
        </w:trPr>
        <w:tc>
          <w:tcPr>
            <w:tcW w:w="3675" w:type="dxa"/>
            <w:tcBorders>
              <w:top w:val="nil"/>
              <w:left w:val="nil"/>
              <w:bottom w:val="nil"/>
              <w:right w:val="nil"/>
            </w:tcBorders>
          </w:tcPr>
          <w:p w14:paraId="27A6EA66"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2AD55A59"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(0.0613)</w:t>
            </w:r>
          </w:p>
        </w:tc>
        <w:tc>
          <w:tcPr>
            <w:tcW w:w="1440" w:type="dxa"/>
            <w:tcBorders>
              <w:top w:val="nil"/>
              <w:left w:val="nil"/>
              <w:bottom w:val="nil"/>
              <w:right w:val="nil"/>
            </w:tcBorders>
          </w:tcPr>
          <w:p w14:paraId="55F7BFB4"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(0.0492)</w:t>
            </w:r>
          </w:p>
        </w:tc>
      </w:tr>
      <w:tr w:rsidR="00407B2D" w:rsidRPr="001714B6" w14:paraId="27E69664" w14:textId="77777777" w:rsidTr="00B946EA">
        <w:trPr>
          <w:jc w:val="center"/>
        </w:trPr>
        <w:tc>
          <w:tcPr>
            <w:tcW w:w="3675" w:type="dxa"/>
            <w:tcBorders>
              <w:top w:val="nil"/>
              <w:left w:val="nil"/>
              <w:bottom w:val="nil"/>
              <w:right w:val="nil"/>
            </w:tcBorders>
          </w:tcPr>
          <w:p w14:paraId="4BBD57B7" w14:textId="77777777" w:rsidR="00407B2D" w:rsidRPr="001714B6" w:rsidRDefault="00407B2D" w:rsidP="00407B2D">
            <w:pPr>
              <w:widowControl w:val="0"/>
              <w:autoSpaceDE w:val="0"/>
              <w:autoSpaceDN w:val="0"/>
              <w:adjustRightInd w:val="0"/>
              <w:jc w:val="both"/>
              <w:rPr>
                <w:sz w:val="22"/>
                <w:szCs w:val="22"/>
              </w:rPr>
            </w:pPr>
            <w:r w:rsidRPr="001714B6">
              <w:rPr>
                <w:sz w:val="22"/>
                <w:szCs w:val="22"/>
              </w:rPr>
              <w:t>escudo_fiscal</w:t>
            </w:r>
          </w:p>
        </w:tc>
        <w:tc>
          <w:tcPr>
            <w:tcW w:w="1584" w:type="dxa"/>
            <w:tcBorders>
              <w:top w:val="nil"/>
              <w:left w:val="nil"/>
              <w:bottom w:val="nil"/>
              <w:right w:val="nil"/>
            </w:tcBorders>
          </w:tcPr>
          <w:p w14:paraId="4C186EC7"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605E977E"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-0.0228**</w:t>
            </w:r>
          </w:p>
        </w:tc>
      </w:tr>
      <w:tr w:rsidR="00407B2D" w:rsidRPr="001714B6" w14:paraId="560A0D1D" w14:textId="77777777" w:rsidTr="00B946EA">
        <w:trPr>
          <w:jc w:val="center"/>
        </w:trPr>
        <w:tc>
          <w:tcPr>
            <w:tcW w:w="3675" w:type="dxa"/>
            <w:tcBorders>
              <w:top w:val="nil"/>
              <w:left w:val="nil"/>
              <w:bottom w:val="nil"/>
              <w:right w:val="nil"/>
            </w:tcBorders>
          </w:tcPr>
          <w:p w14:paraId="54243718"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406BE9C4"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nil"/>
              <w:right w:val="nil"/>
            </w:tcBorders>
          </w:tcPr>
          <w:p w14:paraId="06F3E7A3"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(0.0096)</w:t>
            </w:r>
          </w:p>
        </w:tc>
      </w:tr>
      <w:tr w:rsidR="00407B2D" w:rsidRPr="001714B6" w14:paraId="7DCD3F76" w14:textId="77777777" w:rsidTr="00B946EA">
        <w:trPr>
          <w:jc w:val="center"/>
        </w:trPr>
        <w:tc>
          <w:tcPr>
            <w:tcW w:w="3675" w:type="dxa"/>
            <w:tcBorders>
              <w:top w:val="nil"/>
              <w:left w:val="nil"/>
              <w:bottom w:val="nil"/>
              <w:right w:val="nil"/>
            </w:tcBorders>
          </w:tcPr>
          <w:p w14:paraId="5AA5F484" w14:textId="65885C71" w:rsidR="00407B2D" w:rsidRPr="001714B6" w:rsidRDefault="00407B2D" w:rsidP="00407B2D">
            <w:pPr>
              <w:widowControl w:val="0"/>
              <w:autoSpaceDE w:val="0"/>
              <w:autoSpaceDN w:val="0"/>
              <w:adjustRightInd w:val="0"/>
              <w:jc w:val="both"/>
              <w:rPr>
                <w:sz w:val="22"/>
                <w:szCs w:val="22"/>
              </w:rPr>
            </w:pPr>
            <w:r>
              <w:rPr>
                <w:sz w:val="22"/>
                <w:szCs w:val="22"/>
              </w:rPr>
              <w:t>País</w:t>
            </w:r>
          </w:p>
        </w:tc>
        <w:tc>
          <w:tcPr>
            <w:tcW w:w="1584" w:type="dxa"/>
            <w:tcBorders>
              <w:top w:val="nil"/>
              <w:left w:val="nil"/>
              <w:bottom w:val="nil"/>
              <w:right w:val="nil"/>
            </w:tcBorders>
          </w:tcPr>
          <w:p w14:paraId="4DCC0D36"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-0.471</w:t>
            </w:r>
          </w:p>
        </w:tc>
        <w:tc>
          <w:tcPr>
            <w:tcW w:w="1440" w:type="dxa"/>
            <w:tcBorders>
              <w:top w:val="nil"/>
              <w:left w:val="nil"/>
              <w:bottom w:val="nil"/>
              <w:right w:val="nil"/>
            </w:tcBorders>
          </w:tcPr>
          <w:p w14:paraId="2823BB18" w14:textId="5375B1B3" w:rsidR="00407B2D" w:rsidRPr="001714B6" w:rsidRDefault="00407B2D" w:rsidP="00407B2D">
            <w:pPr>
              <w:widowControl w:val="0"/>
              <w:autoSpaceDE w:val="0"/>
              <w:autoSpaceDN w:val="0"/>
              <w:adjustRightInd w:val="0"/>
              <w:jc w:val="center"/>
              <w:rPr>
                <w:sz w:val="22"/>
                <w:szCs w:val="22"/>
              </w:rPr>
            </w:pPr>
            <w:r w:rsidRPr="001714B6">
              <w:rPr>
                <w:sz w:val="22"/>
                <w:szCs w:val="22"/>
              </w:rPr>
              <w:t>6.138</w:t>
            </w:r>
          </w:p>
        </w:tc>
      </w:tr>
      <w:tr w:rsidR="00407B2D" w:rsidRPr="001714B6" w14:paraId="3C32F03F" w14:textId="77777777" w:rsidTr="00B946EA">
        <w:trPr>
          <w:jc w:val="center"/>
        </w:trPr>
        <w:tc>
          <w:tcPr>
            <w:tcW w:w="3675" w:type="dxa"/>
            <w:tcBorders>
              <w:top w:val="nil"/>
              <w:left w:val="nil"/>
              <w:bottom w:val="nil"/>
              <w:right w:val="nil"/>
            </w:tcBorders>
          </w:tcPr>
          <w:p w14:paraId="46089777"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nil"/>
              <w:right w:val="nil"/>
            </w:tcBorders>
          </w:tcPr>
          <w:p w14:paraId="7F091E70"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(10.879)</w:t>
            </w:r>
          </w:p>
        </w:tc>
        <w:tc>
          <w:tcPr>
            <w:tcW w:w="1440" w:type="dxa"/>
            <w:tcBorders>
              <w:top w:val="nil"/>
              <w:left w:val="nil"/>
              <w:bottom w:val="nil"/>
              <w:right w:val="nil"/>
            </w:tcBorders>
          </w:tcPr>
          <w:p w14:paraId="1BE1B03E" w14:textId="652EF3DF" w:rsidR="00407B2D" w:rsidRPr="001714B6" w:rsidRDefault="00407B2D" w:rsidP="00407B2D">
            <w:pPr>
              <w:widowControl w:val="0"/>
              <w:autoSpaceDE w:val="0"/>
              <w:autoSpaceDN w:val="0"/>
              <w:adjustRightInd w:val="0"/>
              <w:jc w:val="center"/>
              <w:rPr>
                <w:sz w:val="22"/>
                <w:szCs w:val="22"/>
              </w:rPr>
            </w:pPr>
            <w:r w:rsidRPr="001714B6">
              <w:rPr>
                <w:sz w:val="22"/>
                <w:szCs w:val="22"/>
              </w:rPr>
              <w:t>(10.922)</w:t>
            </w:r>
          </w:p>
        </w:tc>
      </w:tr>
      <w:tr w:rsidR="00407B2D" w:rsidRPr="001714B6" w14:paraId="009ACAE2" w14:textId="77777777" w:rsidTr="00B946EA">
        <w:trPr>
          <w:jc w:val="center"/>
        </w:trPr>
        <w:tc>
          <w:tcPr>
            <w:tcW w:w="3675" w:type="dxa"/>
            <w:tcBorders>
              <w:top w:val="nil"/>
              <w:left w:val="nil"/>
              <w:bottom w:val="nil"/>
              <w:right w:val="nil"/>
            </w:tcBorders>
          </w:tcPr>
          <w:p w14:paraId="093783CC" w14:textId="3B4F4CDE" w:rsidR="00407B2D" w:rsidRPr="001714B6" w:rsidRDefault="00407B2D" w:rsidP="00407B2D">
            <w:pPr>
              <w:widowControl w:val="0"/>
              <w:autoSpaceDE w:val="0"/>
              <w:autoSpaceDN w:val="0"/>
              <w:adjustRightInd w:val="0"/>
              <w:jc w:val="both"/>
              <w:rPr>
                <w:sz w:val="22"/>
                <w:szCs w:val="22"/>
              </w:rPr>
            </w:pPr>
            <w:r w:rsidRPr="001714B6">
              <w:rPr>
                <w:sz w:val="22"/>
                <w:szCs w:val="22"/>
              </w:rPr>
              <w:t>Constant</w:t>
            </w:r>
            <w:r>
              <w:rPr>
                <w:sz w:val="22"/>
                <w:szCs w:val="22"/>
              </w:rPr>
              <w:t>e</w:t>
            </w:r>
          </w:p>
        </w:tc>
        <w:tc>
          <w:tcPr>
            <w:tcW w:w="1584" w:type="dxa"/>
            <w:tcBorders>
              <w:top w:val="nil"/>
              <w:left w:val="nil"/>
              <w:bottom w:val="nil"/>
              <w:right w:val="nil"/>
            </w:tcBorders>
          </w:tcPr>
          <w:p w14:paraId="4A83D9C4"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40.44***</w:t>
            </w:r>
          </w:p>
        </w:tc>
        <w:tc>
          <w:tcPr>
            <w:tcW w:w="1440" w:type="dxa"/>
            <w:tcBorders>
              <w:top w:val="nil"/>
              <w:left w:val="nil"/>
              <w:bottom w:val="nil"/>
              <w:right w:val="nil"/>
            </w:tcBorders>
          </w:tcPr>
          <w:p w14:paraId="3F462233" w14:textId="554E95AA" w:rsidR="00407B2D" w:rsidRPr="001714B6" w:rsidRDefault="00407B2D" w:rsidP="00407B2D">
            <w:pPr>
              <w:widowControl w:val="0"/>
              <w:autoSpaceDE w:val="0"/>
              <w:autoSpaceDN w:val="0"/>
              <w:adjustRightInd w:val="0"/>
              <w:jc w:val="center"/>
              <w:rPr>
                <w:sz w:val="22"/>
                <w:szCs w:val="22"/>
              </w:rPr>
            </w:pPr>
            <w:r w:rsidRPr="001714B6">
              <w:rPr>
                <w:sz w:val="22"/>
                <w:szCs w:val="22"/>
              </w:rPr>
              <w:t>5.2579</w:t>
            </w:r>
          </w:p>
        </w:tc>
      </w:tr>
      <w:tr w:rsidR="00407B2D" w:rsidRPr="001714B6" w14:paraId="49995CA5" w14:textId="77777777" w:rsidTr="00B946EA">
        <w:trPr>
          <w:jc w:val="center"/>
        </w:trPr>
        <w:tc>
          <w:tcPr>
            <w:tcW w:w="3675" w:type="dxa"/>
            <w:tcBorders>
              <w:top w:val="nil"/>
              <w:left w:val="nil"/>
              <w:right w:val="nil"/>
            </w:tcBorders>
          </w:tcPr>
          <w:p w14:paraId="4D65F719"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right w:val="nil"/>
            </w:tcBorders>
          </w:tcPr>
          <w:p w14:paraId="4F2D233C"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(9.339)</w:t>
            </w:r>
          </w:p>
        </w:tc>
        <w:tc>
          <w:tcPr>
            <w:tcW w:w="1440" w:type="dxa"/>
            <w:tcBorders>
              <w:top w:val="nil"/>
              <w:left w:val="nil"/>
              <w:right w:val="nil"/>
            </w:tcBorders>
          </w:tcPr>
          <w:p w14:paraId="11AD8A25"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(9.277)</w:t>
            </w:r>
          </w:p>
        </w:tc>
      </w:tr>
      <w:tr w:rsidR="00407B2D" w:rsidRPr="001714B6" w14:paraId="3104A664" w14:textId="77777777" w:rsidTr="00B946EA">
        <w:trPr>
          <w:jc w:val="center"/>
        </w:trPr>
        <w:tc>
          <w:tcPr>
            <w:tcW w:w="3675" w:type="dxa"/>
            <w:tcBorders>
              <w:top w:val="nil"/>
              <w:left w:val="nil"/>
              <w:bottom w:val="single" w:sz="4" w:space="0" w:color="auto"/>
              <w:right w:val="nil"/>
            </w:tcBorders>
          </w:tcPr>
          <w:p w14:paraId="1B84106B" w14:textId="77777777" w:rsidR="00407B2D" w:rsidRPr="001714B6" w:rsidRDefault="00407B2D" w:rsidP="00407B2D">
            <w:pPr>
              <w:widowControl w:val="0"/>
              <w:autoSpaceDE w:val="0"/>
              <w:autoSpaceDN w:val="0"/>
              <w:adjustRightInd w:val="0"/>
              <w:jc w:val="both"/>
              <w:rPr>
                <w:sz w:val="22"/>
                <w:szCs w:val="22"/>
              </w:rPr>
            </w:pPr>
          </w:p>
        </w:tc>
        <w:tc>
          <w:tcPr>
            <w:tcW w:w="1584" w:type="dxa"/>
            <w:tcBorders>
              <w:top w:val="nil"/>
              <w:left w:val="nil"/>
              <w:bottom w:val="single" w:sz="4" w:space="0" w:color="auto"/>
              <w:right w:val="nil"/>
            </w:tcBorders>
          </w:tcPr>
          <w:p w14:paraId="0D9B0786" w14:textId="77777777" w:rsidR="00407B2D" w:rsidRPr="001714B6" w:rsidRDefault="00407B2D" w:rsidP="00407B2D">
            <w:pPr>
              <w:widowControl w:val="0"/>
              <w:autoSpaceDE w:val="0"/>
              <w:autoSpaceDN w:val="0"/>
              <w:adjustRightInd w:val="0"/>
              <w:jc w:val="center"/>
              <w:rPr>
                <w:sz w:val="22"/>
                <w:szCs w:val="22"/>
              </w:rPr>
            </w:pPr>
          </w:p>
        </w:tc>
        <w:tc>
          <w:tcPr>
            <w:tcW w:w="1440" w:type="dxa"/>
            <w:tcBorders>
              <w:top w:val="nil"/>
              <w:left w:val="nil"/>
              <w:bottom w:val="single" w:sz="4" w:space="0" w:color="auto"/>
              <w:right w:val="nil"/>
            </w:tcBorders>
          </w:tcPr>
          <w:p w14:paraId="0F7C5CE6" w14:textId="77777777" w:rsidR="00407B2D" w:rsidRPr="001714B6" w:rsidRDefault="00407B2D" w:rsidP="00407B2D">
            <w:pPr>
              <w:widowControl w:val="0"/>
              <w:autoSpaceDE w:val="0"/>
              <w:autoSpaceDN w:val="0"/>
              <w:adjustRightInd w:val="0"/>
              <w:jc w:val="center"/>
              <w:rPr>
                <w:sz w:val="22"/>
                <w:szCs w:val="22"/>
              </w:rPr>
            </w:pPr>
          </w:p>
        </w:tc>
      </w:tr>
      <w:tr w:rsidR="00407B2D" w:rsidRPr="001714B6" w14:paraId="16C227C5" w14:textId="77777777" w:rsidTr="00B946EA">
        <w:trPr>
          <w:jc w:val="center"/>
        </w:trPr>
        <w:tc>
          <w:tcPr>
            <w:tcW w:w="3675" w:type="dxa"/>
            <w:tcBorders>
              <w:top w:val="single" w:sz="4" w:space="0" w:color="auto"/>
              <w:left w:val="nil"/>
              <w:bottom w:val="nil"/>
              <w:right w:val="nil"/>
            </w:tcBorders>
          </w:tcPr>
          <w:p w14:paraId="1A702512" w14:textId="02B88517" w:rsidR="00407B2D" w:rsidRPr="001714B6" w:rsidRDefault="00407B2D" w:rsidP="00407B2D">
            <w:pPr>
              <w:widowControl w:val="0"/>
              <w:autoSpaceDE w:val="0"/>
              <w:autoSpaceDN w:val="0"/>
              <w:adjustRightInd w:val="0"/>
              <w:jc w:val="both"/>
              <w:rPr>
                <w:sz w:val="22"/>
                <w:szCs w:val="22"/>
              </w:rPr>
            </w:pPr>
            <w:r>
              <w:rPr>
                <w:sz w:val="22"/>
                <w:szCs w:val="22"/>
              </w:rPr>
              <w:t>Observac</w:t>
            </w:r>
            <w:r w:rsidRPr="001714B6">
              <w:rPr>
                <w:sz w:val="22"/>
                <w:szCs w:val="22"/>
              </w:rPr>
              <w:t>ion</w:t>
            </w:r>
            <w:r>
              <w:rPr>
                <w:sz w:val="22"/>
                <w:szCs w:val="22"/>
              </w:rPr>
              <w:t>e</w:t>
            </w:r>
            <w:r w:rsidRPr="001714B6">
              <w:rPr>
                <w:sz w:val="22"/>
                <w:szCs w:val="22"/>
              </w:rPr>
              <w:t>s</w:t>
            </w:r>
          </w:p>
        </w:tc>
        <w:tc>
          <w:tcPr>
            <w:tcW w:w="1584" w:type="dxa"/>
            <w:tcBorders>
              <w:top w:val="single" w:sz="4" w:space="0" w:color="auto"/>
              <w:left w:val="nil"/>
              <w:bottom w:val="nil"/>
              <w:right w:val="nil"/>
            </w:tcBorders>
          </w:tcPr>
          <w:p w14:paraId="71A44ADF"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560</w:t>
            </w:r>
          </w:p>
        </w:tc>
        <w:tc>
          <w:tcPr>
            <w:tcW w:w="1440" w:type="dxa"/>
            <w:tcBorders>
              <w:top w:val="single" w:sz="4" w:space="0" w:color="auto"/>
              <w:left w:val="nil"/>
              <w:bottom w:val="nil"/>
              <w:right w:val="nil"/>
            </w:tcBorders>
          </w:tcPr>
          <w:p w14:paraId="46D93B3B"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680</w:t>
            </w:r>
          </w:p>
        </w:tc>
      </w:tr>
      <w:tr w:rsidR="00407B2D" w:rsidRPr="001714B6" w14:paraId="3F7A1E87" w14:textId="77777777" w:rsidTr="00B946EA">
        <w:tblPrEx>
          <w:tblBorders>
            <w:bottom w:val="single" w:sz="6" w:space="0" w:color="auto"/>
          </w:tblBorders>
        </w:tblPrEx>
        <w:trPr>
          <w:jc w:val="center"/>
        </w:trPr>
        <w:tc>
          <w:tcPr>
            <w:tcW w:w="3675" w:type="dxa"/>
            <w:tcBorders>
              <w:top w:val="nil"/>
              <w:left w:val="nil"/>
              <w:bottom w:val="single" w:sz="6" w:space="0" w:color="auto"/>
              <w:right w:val="nil"/>
            </w:tcBorders>
          </w:tcPr>
          <w:p w14:paraId="317C622C" w14:textId="63D53495" w:rsidR="00407B2D" w:rsidRPr="001714B6" w:rsidRDefault="00407B2D" w:rsidP="00407B2D">
            <w:pPr>
              <w:widowControl w:val="0"/>
              <w:autoSpaceDE w:val="0"/>
              <w:autoSpaceDN w:val="0"/>
              <w:adjustRightInd w:val="0"/>
              <w:jc w:val="both"/>
              <w:rPr>
                <w:sz w:val="22"/>
                <w:szCs w:val="22"/>
              </w:rPr>
            </w:pPr>
            <w:r>
              <w:rPr>
                <w:sz w:val="22"/>
                <w:szCs w:val="22"/>
              </w:rPr>
              <w:t>R-cuadrado</w:t>
            </w:r>
          </w:p>
        </w:tc>
        <w:tc>
          <w:tcPr>
            <w:tcW w:w="1584" w:type="dxa"/>
            <w:tcBorders>
              <w:top w:val="nil"/>
              <w:left w:val="nil"/>
              <w:bottom w:val="single" w:sz="6" w:space="0" w:color="auto"/>
              <w:right w:val="nil"/>
            </w:tcBorders>
          </w:tcPr>
          <w:p w14:paraId="2260F2BF"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0.2884</w:t>
            </w:r>
          </w:p>
        </w:tc>
        <w:tc>
          <w:tcPr>
            <w:tcW w:w="1440" w:type="dxa"/>
            <w:tcBorders>
              <w:top w:val="nil"/>
              <w:left w:val="nil"/>
              <w:bottom w:val="single" w:sz="6" w:space="0" w:color="auto"/>
              <w:right w:val="nil"/>
            </w:tcBorders>
          </w:tcPr>
          <w:p w14:paraId="7C4D6073" w14:textId="77777777" w:rsidR="00407B2D" w:rsidRPr="001714B6" w:rsidRDefault="00407B2D" w:rsidP="00407B2D">
            <w:pPr>
              <w:widowControl w:val="0"/>
              <w:autoSpaceDE w:val="0"/>
              <w:autoSpaceDN w:val="0"/>
              <w:adjustRightInd w:val="0"/>
              <w:jc w:val="center"/>
              <w:rPr>
                <w:sz w:val="22"/>
                <w:szCs w:val="22"/>
              </w:rPr>
            </w:pPr>
            <w:r w:rsidRPr="001714B6">
              <w:rPr>
                <w:sz w:val="22"/>
                <w:szCs w:val="22"/>
              </w:rPr>
              <w:t>0.1156</w:t>
            </w:r>
          </w:p>
        </w:tc>
      </w:tr>
    </w:tbl>
    <w:bookmarkEnd w:id="1"/>
    <w:p w14:paraId="4AF1F988" w14:textId="77777777" w:rsidR="00F95C56" w:rsidRDefault="577BF0F5" w:rsidP="00407B2D">
      <w:pPr>
        <w:jc w:val="center"/>
        <w:rPr>
          <w:sz w:val="20"/>
          <w:szCs w:val="20"/>
        </w:rPr>
      </w:pPr>
      <w:r w:rsidRPr="577BF0F5">
        <w:rPr>
          <w:sz w:val="20"/>
          <w:szCs w:val="20"/>
        </w:rPr>
        <w:t>*Significativo al 10 %, **significativo al 5 %, y ***significativo al 1 %</w:t>
      </w:r>
    </w:p>
    <w:p w14:paraId="3FFEC41A" w14:textId="1FD64F59" w:rsidR="00F95C56" w:rsidRDefault="577BF0F5" w:rsidP="00407B2D">
      <w:pPr>
        <w:jc w:val="center"/>
        <w:rPr>
          <w:sz w:val="20"/>
          <w:szCs w:val="20"/>
        </w:rPr>
      </w:pPr>
      <w:r w:rsidRPr="577BF0F5">
        <w:rPr>
          <w:sz w:val="20"/>
          <w:szCs w:val="20"/>
        </w:rPr>
        <w:t>+ La pérdida de observaciones entre los modelos se debe a la construcción de la base de datos.</w:t>
      </w:r>
    </w:p>
    <w:p w14:paraId="2BB5F04A" w14:textId="77777777" w:rsidR="00F95C56" w:rsidRDefault="00F95C56" w:rsidP="0014174E">
      <w:pPr>
        <w:ind w:firstLine="708"/>
        <w:jc w:val="both"/>
      </w:pPr>
    </w:p>
    <w:p w14:paraId="2630B243" w14:textId="6BE63534" w:rsidR="004A4FED" w:rsidRDefault="577BF0F5" w:rsidP="00407B2D">
      <w:pPr>
        <w:ind w:firstLine="708"/>
        <w:jc w:val="both"/>
      </w:pPr>
      <w:r>
        <w:t xml:space="preserve">Para evidenciar la consistencia de los resultados se realizan </w:t>
      </w:r>
      <w:r w:rsidR="00407B2D">
        <w:t>dos</w:t>
      </w:r>
      <w:r>
        <w:t xml:space="preserve"> regresiones adicionales, considerando el modelo general </w:t>
      </w:r>
      <w:r w:rsidR="00407B2D">
        <w:t xml:space="preserve">por </w:t>
      </w:r>
      <w:r>
        <w:t xml:space="preserve">sectores. Las estimaciones se muestran en la Tabla 6, y se encuentra que los resultados </w:t>
      </w:r>
      <w:r w:rsidR="00407B2D">
        <w:t xml:space="preserve">son consistentes con lo estimado en la Tabla 5. </w:t>
      </w:r>
      <w:r>
        <w:t>La regresión para el sector financiero tuvo dificultades</w:t>
      </w:r>
      <w:r w:rsidR="00407B2D">
        <w:t xml:space="preserve"> asociadas</w:t>
      </w:r>
      <w:r w:rsidR="00C61B9B">
        <w:t xml:space="preserve"> a</w:t>
      </w:r>
      <w:r w:rsidR="00407B2D">
        <w:t xml:space="preserve"> los datos existentes</w:t>
      </w:r>
      <w:r>
        <w:t>, por lo que fue necesario excluir variables como la liquidez y algunas variables control. Entonc</w:t>
      </w:r>
      <w:r w:rsidR="00407B2D">
        <w:t xml:space="preserve">es, </w:t>
      </w:r>
      <w:r w:rsidR="00407B2D">
        <w:lastRenderedPageBreak/>
        <w:t>el resultado evidencia que en empresas del sector financiero e</w:t>
      </w:r>
      <w:r>
        <w:t xml:space="preserve">l efecto de las pérdidas de la empresa es coherente con lo expuesto en el modelo general, pero la existencia de una crisis en </w:t>
      </w:r>
      <w:r w:rsidR="004A4FED">
        <w:t xml:space="preserve">sectores afines lleva a que las firmas </w:t>
      </w:r>
      <w:r>
        <w:t>disminuyan su nivel de apalancamiento</w:t>
      </w:r>
      <w:r w:rsidR="00597EBC">
        <w:t>, dado que cuando las entidades financieras obtienen pérdidas acuden a un mayor financiamiento con otras entidades y con clientes, lo cual propaga la inestabilidad financiera</w:t>
      </w:r>
      <w:r>
        <w:t xml:space="preserve">. En el caso de las variables control, la rentabilidad </w:t>
      </w:r>
      <w:r w:rsidR="004A4FED">
        <w:t>sobre los activos contemporánea explica negativamente la decisión de tomar de deuda, pero sí en el trimestre pasado esta misma rentabilidad fue positiva la empresa se apalanca en mayor medida. El resultado refleja cómo las empresas no asumen un incremento en su apalancamiento mientras posea</w:t>
      </w:r>
      <w:r w:rsidR="00E24A53">
        <w:t>n</w:t>
      </w:r>
      <w:r w:rsidR="004A4FED">
        <w:t xml:space="preserve"> rentabilidad presente, pero considera</w:t>
      </w:r>
      <w:r w:rsidR="00E24A53">
        <w:t>n</w:t>
      </w:r>
      <w:r w:rsidR="004A4FED">
        <w:t xml:space="preserve"> planes de exp</w:t>
      </w:r>
      <w:r w:rsidR="00E24A53">
        <w:t>ansión a través de deuda para</w:t>
      </w:r>
      <w:r w:rsidR="004A4FED">
        <w:t xml:space="preserve"> el siguiente periodo. Ahora, </w:t>
      </w:r>
      <w:r>
        <w:t xml:space="preserve">el tamaño del PIB sectorial </w:t>
      </w:r>
      <w:r w:rsidR="004A4FED">
        <w:t>incide positivamente en el nivel de apalancamiento, dado que las perspectivas al interior del sector son favorables para los planes de inversión financiados con recursos externos</w:t>
      </w:r>
      <w:r>
        <w:t>.</w:t>
      </w:r>
    </w:p>
    <w:p w14:paraId="13A08661" w14:textId="77777777" w:rsidR="004A4FED" w:rsidRDefault="004A4FED" w:rsidP="00407B2D">
      <w:pPr>
        <w:ind w:firstLine="708"/>
        <w:jc w:val="both"/>
      </w:pPr>
    </w:p>
    <w:p w14:paraId="440A7BFE" w14:textId="7F722F51" w:rsidR="00F95C56" w:rsidRDefault="577BF0F5" w:rsidP="003C2DC8">
      <w:pPr>
        <w:ind w:firstLine="708"/>
        <w:jc w:val="both"/>
      </w:pPr>
      <w:r>
        <w:t>Finalmente, los resultados de la regresión para el sector real reflejan consiste</w:t>
      </w:r>
      <w:r w:rsidR="004A4FED">
        <w:t xml:space="preserve">ncia con los del modelo general, y tanto las pérdidas de la empresa como la razón corriente explican </w:t>
      </w:r>
      <w:r w:rsidR="003C2DC8">
        <w:t>el nivel de apalancamiento, y para Colombia las pérdidas del sector, lo cual permite infe</w:t>
      </w:r>
      <w:r w:rsidR="00597EBC">
        <w:t>rir que en Colombia factores de desempeño sectorial</w:t>
      </w:r>
      <w:r w:rsidR="003C2DC8">
        <w:t xml:space="preserve"> son más importantes que en Argentina para explicar las decisiones de apalancamiento. Las variables de control tienen el mismo efecto que en el modelo general.   </w:t>
      </w:r>
    </w:p>
    <w:p w14:paraId="086828D5" w14:textId="77777777" w:rsidR="003C2DC8" w:rsidRDefault="003C2DC8" w:rsidP="003C2DC8">
      <w:pPr>
        <w:ind w:firstLine="708"/>
        <w:jc w:val="both"/>
      </w:pPr>
    </w:p>
    <w:p w14:paraId="61438568" w14:textId="66018809" w:rsidR="00F95C56" w:rsidRDefault="003A5068" w:rsidP="0014174E">
      <w:pPr>
        <w:pStyle w:val="Prrafodelista"/>
        <w:numPr>
          <w:ilvl w:val="0"/>
          <w:numId w:val="10"/>
        </w:numPr>
        <w:jc w:val="center"/>
        <w:rPr>
          <w:b/>
          <w:bCs/>
        </w:rPr>
      </w:pPr>
      <w:r w:rsidRPr="577BF0F5">
        <w:rPr>
          <w:b/>
          <w:bCs/>
        </w:rPr>
        <w:t>DISCUSIÓN</w:t>
      </w:r>
    </w:p>
    <w:p w14:paraId="7661C137" w14:textId="77777777" w:rsidR="00F95C56" w:rsidRDefault="00F95C56" w:rsidP="0014174E">
      <w:pPr>
        <w:jc w:val="both"/>
      </w:pPr>
    </w:p>
    <w:p w14:paraId="1F3E6467" w14:textId="39876723" w:rsidR="00F95C56" w:rsidRDefault="577BF0F5" w:rsidP="0014174E">
      <w:pPr>
        <w:jc w:val="both"/>
      </w:pPr>
      <w:r>
        <w:t xml:space="preserve">Es importante destacar que los efectos encontrados indican que existen diferencias en los resultados de las empresas colombianas y argentinas; es decir, por la especificación del modelo se asume que existen efectos diferenciados en el tiempo y entre empresas; sin embargo, los resultados para las empresas argentinas son más consistentes con los globales que los de las empresas colombianas.  </w:t>
      </w:r>
    </w:p>
    <w:p w14:paraId="208EA223" w14:textId="77777777" w:rsidR="0014174E" w:rsidRDefault="0014174E" w:rsidP="0014174E">
      <w:pPr>
        <w:jc w:val="both"/>
      </w:pPr>
    </w:p>
    <w:p w14:paraId="56077811" w14:textId="409C9385" w:rsidR="00F95C56" w:rsidRDefault="577BF0F5" w:rsidP="0014174E">
      <w:pPr>
        <w:ind w:firstLine="708"/>
        <w:jc w:val="both"/>
      </w:pPr>
      <w:r>
        <w:t xml:space="preserve">Como se puede ver en la Tabla 5, se esperaba que las variables de tamaño tuvieran una incidencia positiva sobre el apalancamiento, pero los resultados fueron disímiles. Del segundo modelo, que representa la </w:t>
      </w:r>
      <w:r w:rsidR="00597EBC">
        <w:t xml:space="preserve">combinación de la estabilidad </w:t>
      </w:r>
      <w:r>
        <w:t>financiera</w:t>
      </w:r>
      <w:r w:rsidR="00597EBC">
        <w:t xml:space="preserve"> y el desempeño sectorial</w:t>
      </w:r>
      <w:r>
        <w:t>, se obtuvieron varios resultados importantes</w:t>
      </w:r>
      <w:r w:rsidRPr="577BF0F5">
        <w:rPr>
          <w:lang w:val="es-CO"/>
        </w:rPr>
        <w:t>;</w:t>
      </w:r>
      <w:r>
        <w:t xml:space="preserve"> por ejemplo, las dos variab</w:t>
      </w:r>
      <w:r w:rsidR="001714B6">
        <w:t xml:space="preserve">les de </w:t>
      </w:r>
      <w:r w:rsidR="00597EBC">
        <w:t xml:space="preserve">estabilidad financiera </w:t>
      </w:r>
      <w:r w:rsidR="001714B6">
        <w:t>al interior de la empresa</w:t>
      </w:r>
      <w:r>
        <w:t xml:space="preserve">, es decir, la razón corriente y la variable de pérdidas, son las que mejor explicaron el apalancamiento; mientras que las variables que representan </w:t>
      </w:r>
      <w:r w:rsidR="00597EBC">
        <w:t xml:space="preserve">desempeño sectorial </w:t>
      </w:r>
      <w:r>
        <w:t xml:space="preserve">no lograron, realmente, explicar el apalancamiento. Esto resulta contrario a lo encontrado por Tenjo </w:t>
      </w:r>
      <w:r w:rsidRPr="577BF0F5">
        <w:rPr>
          <w:i/>
          <w:iCs/>
        </w:rPr>
        <w:t xml:space="preserve">et al. </w:t>
      </w:r>
      <w:r>
        <w:t xml:space="preserve"> (2006)</w:t>
      </w:r>
      <w:r w:rsidR="000A2C88">
        <w:t xml:space="preserve"> con datos de empresas colombianas</w:t>
      </w:r>
      <w:r>
        <w:t xml:space="preserve">, ya que los choques </w:t>
      </w:r>
      <w:r w:rsidR="00597EBC">
        <w:t xml:space="preserve">sectoriales y </w:t>
      </w:r>
      <w:r>
        <w:t>macroeconómicos no afectan, realmente, el apalancamiento de las empresas, en comparación con los choques internos; en otras palabras, este resultado implica que al comparar la estructura de capital entre empresas les afectan más los factores internos, como la liquidez, que los factores exógenos.</w:t>
      </w:r>
      <w:r w:rsidR="000A2C88">
        <w:t xml:space="preserve"> </w:t>
      </w:r>
    </w:p>
    <w:p w14:paraId="20A75987" w14:textId="77777777" w:rsidR="000A2C88" w:rsidRDefault="000A2C88" w:rsidP="0014174E">
      <w:pPr>
        <w:ind w:firstLine="708"/>
        <w:jc w:val="both"/>
      </w:pPr>
    </w:p>
    <w:p w14:paraId="542CC3DC" w14:textId="1C11B3D9" w:rsidR="00F95C56" w:rsidRDefault="577BF0F5" w:rsidP="0014174E">
      <w:pPr>
        <w:ind w:firstLine="708"/>
        <w:jc w:val="both"/>
        <w:rPr>
          <w:lang w:val="es-CO"/>
        </w:rPr>
      </w:pPr>
      <w:r>
        <w:t xml:space="preserve">De hecho, la razón corriente es altamente significativa en todos los casos, y siempre tiene una incidencia negativa sobre el apalancamiento; en otras palabras, cuando las empresas tienen mayor liquidez, hay menos incentivos para adquirir deuda. Esto es consecuente con la teoría de </w:t>
      </w:r>
      <w:r w:rsidRPr="577BF0F5">
        <w:rPr>
          <w:i/>
          <w:iCs/>
        </w:rPr>
        <w:t xml:space="preserve">Pecking Order, </w:t>
      </w:r>
      <w:r>
        <w:t xml:space="preserve">de Myers y Majluf (1984), que establece que las empresas preferirían utilizar primero recursos propios y, posteriormente, deuda; asimismo, también es </w:t>
      </w:r>
      <w:r>
        <w:lastRenderedPageBreak/>
        <w:t>consecuente con lo investigado por Niu (2008), quien al respecto de la razón corriente señala que si las empresas tienen suficientes recursos líquidos preferirán no endeudarse y, por tanto, la liquidez tiene un efecto negativo sobre el apalancamiento</w:t>
      </w:r>
      <w:r w:rsidRPr="577BF0F5">
        <w:rPr>
          <w:lang w:val="es-CO"/>
        </w:rPr>
        <w:t xml:space="preserve"> (Niu, 2008). Esto también sirve en el sentido contrario, es decir, la razón corriente es un indicador de la iliquidez o de la fragilidad financiera de una empresa en un momento dado, por lo que las empresas se verían en la obligación de adquirir más deuda.</w:t>
      </w:r>
    </w:p>
    <w:p w14:paraId="1AEED3D6" w14:textId="77777777" w:rsidR="0014174E" w:rsidRDefault="0014174E" w:rsidP="0014174E">
      <w:pPr>
        <w:ind w:firstLine="708"/>
        <w:jc w:val="both"/>
        <w:rPr>
          <w:lang w:val="es-CO"/>
        </w:rPr>
      </w:pPr>
    </w:p>
    <w:p w14:paraId="6A2FF8A5" w14:textId="108EE885" w:rsidR="00F95C56" w:rsidRDefault="577BF0F5" w:rsidP="0014174E">
      <w:pPr>
        <w:ind w:firstLine="708"/>
        <w:jc w:val="both"/>
      </w:pPr>
      <w:r w:rsidRPr="577BF0F5">
        <w:rPr>
          <w:lang w:val="es-CO"/>
        </w:rPr>
        <w:t xml:space="preserve">Sin embargo, otros autores, como </w:t>
      </w:r>
      <w:r>
        <w:t>Assenmach y Gerlach (2009), establecen que una alta liquidez de las empresas genera menor probabilidad de impago de las deudas, lo cual significaría un cambio positivo sobre el apalancamiento a medida que haya mayor liquidez. No obstante, la crítica que se le podría hacer a esta postura es que la razón corriente es altamente temporal, es decir, que, por sus características, una empresa podría cambiar de un día a otro su razón corriente, lo cual, sin duda, afectaría la probabilidad de impago en algún momento. Por ende, pareciera ser que, teórica como empíricamente, la ra</w:t>
      </w:r>
      <w:r w:rsidR="00305AB7">
        <w:t>zón corriente sí tiene un efect</w:t>
      </w:r>
      <w:r>
        <w:t>o negativo sobre el apalancamiento de las compañías.</w:t>
      </w:r>
    </w:p>
    <w:p w14:paraId="57417848" w14:textId="77777777" w:rsidR="0014174E" w:rsidRDefault="0014174E" w:rsidP="0014174E">
      <w:pPr>
        <w:ind w:firstLine="708"/>
        <w:jc w:val="both"/>
      </w:pPr>
    </w:p>
    <w:p w14:paraId="604A87F6" w14:textId="47D8EA61" w:rsidR="00F95C56" w:rsidRDefault="577BF0F5" w:rsidP="0014174E">
      <w:pPr>
        <w:ind w:firstLine="708"/>
        <w:jc w:val="both"/>
        <w:rPr>
          <w:i/>
          <w:iCs/>
        </w:rPr>
      </w:pPr>
      <w:r>
        <w:t xml:space="preserve">En cuanto a la rentabilidad de activos, se tiene un efecto claramente negativo en el apalancamiento; un incremento de un punto de la rentabilidad sobre el activo disminuye 0,42 puntos el apalancamiento entre las empresas; este mismo resultado es consistente con la segunda proxy de rentabilidad; al comparar con la literatura, este resultado tendría sentido siguiendo los preceptos del </w:t>
      </w:r>
      <w:r w:rsidRPr="577BF0F5">
        <w:rPr>
          <w:i/>
          <w:iCs/>
        </w:rPr>
        <w:t xml:space="preserve">Pecking Order; </w:t>
      </w:r>
      <w:r>
        <w:t>una vez más, si se incrementa la rentabilidad de los activos, las empresas tienen incentivos para utilizar recursos propios, puesto que cada vez son más rentables. En cambio, al haber un aumento en la rentabilidad del patrimonio, que en este caso se puede evidenciar con la variable rezagada (</w:t>
      </w:r>
      <w:r w:rsidRPr="577BF0F5">
        <w:rPr>
          <w:i/>
          <w:iCs/>
        </w:rPr>
        <w:t>lagroe)</w:t>
      </w:r>
      <w:r>
        <w:t xml:space="preserve">, se aumenta el apalancamiento, lo que también es concordante con la teoría de Myers y Majluf (1984); si para las empresas es cada vez más rentable su patrimonio, se hace más necesaria la obtención de deuda, siguiendo los lineamientos del </w:t>
      </w:r>
      <w:r w:rsidRPr="577BF0F5">
        <w:rPr>
          <w:i/>
          <w:iCs/>
        </w:rPr>
        <w:t>Pecking Order.</w:t>
      </w:r>
    </w:p>
    <w:p w14:paraId="05B03D33" w14:textId="77777777" w:rsidR="0014174E" w:rsidRDefault="0014174E" w:rsidP="0014174E">
      <w:pPr>
        <w:ind w:firstLine="708"/>
        <w:jc w:val="both"/>
        <w:rPr>
          <w:i/>
          <w:iCs/>
        </w:rPr>
      </w:pPr>
    </w:p>
    <w:p w14:paraId="380FAAD2" w14:textId="355B320F" w:rsidR="00F95C56" w:rsidRDefault="577BF0F5" w:rsidP="0014174E">
      <w:pPr>
        <w:ind w:firstLine="708"/>
        <w:jc w:val="both"/>
      </w:pPr>
      <w:r>
        <w:t>Del tercer modelo se obtienen resultados muy parecidos al modelo general; de hecho, los aspectos más relevantes son exactamente los mis</w:t>
      </w:r>
      <w:r w:rsidR="001714B6">
        <w:t>mos. En el modelo que incluye factores e</w:t>
      </w:r>
      <w:r w:rsidR="00EA5355">
        <w:t>x</w:t>
      </w:r>
      <w:r w:rsidR="001714B6">
        <w:t>ternos</w:t>
      </w:r>
      <w:r>
        <w:t xml:space="preserve">, a pesar de que pareciera haber varios indicadores que afectan la estructura de capital, realmente no son relevantes, ya que el R cuadrado es tan bajo que en verdad no están explicando cambios en la variable dependiente. </w:t>
      </w:r>
    </w:p>
    <w:p w14:paraId="5528753D" w14:textId="77777777" w:rsidR="0014174E" w:rsidRDefault="0014174E" w:rsidP="0014174E">
      <w:pPr>
        <w:ind w:firstLine="708"/>
        <w:jc w:val="both"/>
      </w:pPr>
    </w:p>
    <w:p w14:paraId="78DB4B05" w14:textId="7F5FEF23" w:rsidR="00F95C56" w:rsidRDefault="577BF0F5" w:rsidP="0014174E">
      <w:pPr>
        <w:ind w:firstLine="708"/>
        <w:jc w:val="both"/>
      </w:pPr>
      <w:r>
        <w:t>Finalmente, se puede identificar en los modelos que las variables asociadas a los impuestos no mantienen la significancia o el signo entre los modelos, aunque el escudo fiscal sí resultó ser importante para explicar la estructura de capital. El resultado evidenciaría que el aumento en el nivel de activos con poco aumento en el pago de impuestos conduce a que las empresas disminuyan su nivel de apalancamiento. Lo anterior tiene dos razones que pueden resultar contradictorias: la primera está asociada a que empresas con mayor deuda tienden a obtener menores utilidades, y por esto el pago de impuestos disminuye, y la segunda considera que las empresas son precavidas y tienden a disminuir su endeudamiento cuando tienen una alta protección de sus ingresos, porque no desean caer en una situación de exceso de deuda. Los resultados econométricos no son concluyentes para identificar la razón que tiene mayor peso para la relación negativa señalada.</w:t>
      </w:r>
    </w:p>
    <w:p w14:paraId="0FD9F6A1" w14:textId="77777777" w:rsidR="00F95C56" w:rsidRDefault="00F95C56" w:rsidP="0014174E">
      <w:pPr>
        <w:ind w:firstLine="708"/>
        <w:jc w:val="both"/>
        <w:rPr>
          <w:lang w:val="es-CO"/>
        </w:rPr>
      </w:pPr>
    </w:p>
    <w:p w14:paraId="583404EA" w14:textId="2E72D506" w:rsidR="00F95C56" w:rsidRDefault="007461AE" w:rsidP="0014174E">
      <w:pPr>
        <w:pStyle w:val="Prrafodelista"/>
        <w:numPr>
          <w:ilvl w:val="0"/>
          <w:numId w:val="10"/>
        </w:numPr>
        <w:jc w:val="center"/>
        <w:rPr>
          <w:b/>
          <w:bCs/>
        </w:rPr>
      </w:pPr>
      <w:r w:rsidRPr="577BF0F5">
        <w:rPr>
          <w:b/>
          <w:bCs/>
        </w:rPr>
        <w:t>CONCLUSIONES</w:t>
      </w:r>
    </w:p>
    <w:p w14:paraId="7EC658C8" w14:textId="77777777" w:rsidR="00263D6F" w:rsidRDefault="00263D6F" w:rsidP="0014174E">
      <w:pPr>
        <w:jc w:val="both"/>
      </w:pPr>
    </w:p>
    <w:p w14:paraId="5EAD71E1" w14:textId="3E880C9F" w:rsidR="00F95C56" w:rsidRDefault="00B10C4D" w:rsidP="0014174E">
      <w:pPr>
        <w:jc w:val="both"/>
      </w:pPr>
      <w:r>
        <w:t>La condición de estabilidad</w:t>
      </w:r>
      <w:r w:rsidR="577BF0F5">
        <w:t xml:space="preserve"> financiera</w:t>
      </w:r>
      <w:r>
        <w:t xml:space="preserve"> </w:t>
      </w:r>
      <w:r w:rsidR="577BF0F5">
        <w:t xml:space="preserve">afecta </w:t>
      </w:r>
      <w:r>
        <w:t xml:space="preserve">negativamente </w:t>
      </w:r>
      <w:r w:rsidR="577BF0F5">
        <w:t xml:space="preserve">el nivel de apalancamiento, al compararlo entre las empresas; sin embargo, se halló que hay diferencia con respecto al origen de la </w:t>
      </w:r>
      <w:r>
        <w:t>inestabilidad (empresa o sectorial)</w:t>
      </w:r>
      <w:r w:rsidR="577BF0F5">
        <w:t xml:space="preserve">. Contrario a lo señalado por Tenjo </w:t>
      </w:r>
      <w:r w:rsidR="577BF0F5" w:rsidRPr="577BF0F5">
        <w:rPr>
          <w:i/>
          <w:iCs/>
        </w:rPr>
        <w:t xml:space="preserve">et al. </w:t>
      </w:r>
      <w:r>
        <w:t xml:space="preserve"> (2006), los aspectos relacionados con problemas económicos </w:t>
      </w:r>
      <w:r w:rsidR="577BF0F5">
        <w:t xml:space="preserve">que más afectaron a </w:t>
      </w:r>
      <w:r>
        <w:t xml:space="preserve">la decisión de endeudamiento de </w:t>
      </w:r>
      <w:r w:rsidR="577BF0F5">
        <w:t>las empresas están e</w:t>
      </w:r>
      <w:r>
        <w:t>n el orden interno</w:t>
      </w:r>
      <w:r w:rsidR="577BF0F5">
        <w:t xml:space="preserve">, no en el </w:t>
      </w:r>
      <w:r w:rsidR="003004A3">
        <w:t>externo</w:t>
      </w:r>
      <w:r w:rsidR="577BF0F5">
        <w:t xml:space="preserve">. Por consiguiente, aspectos </w:t>
      </w:r>
      <w:r>
        <w:t xml:space="preserve">relacionados con la estabilidad financiera de la empresa </w:t>
      </w:r>
      <w:r w:rsidR="577BF0F5">
        <w:t xml:space="preserve">como la liquidez o haber tenido dos o más períodos seguidos en pérdidas resultan relevantes a la hora de modificar la estructura de capital de las empresas. En cambio, variaciones en el PIB del sector o cambios en </w:t>
      </w:r>
      <w:r w:rsidR="00CD6CD5">
        <w:t xml:space="preserve">el PIB de </w:t>
      </w:r>
      <w:r w:rsidR="577BF0F5">
        <w:t>sectores afines de la economía no parecen ser importantes para determinar el apalancamiento.</w:t>
      </w:r>
    </w:p>
    <w:p w14:paraId="1A48F296" w14:textId="77777777" w:rsidR="00263D6F" w:rsidRDefault="00263D6F" w:rsidP="0014174E">
      <w:pPr>
        <w:jc w:val="both"/>
      </w:pPr>
    </w:p>
    <w:p w14:paraId="15BE4A7C" w14:textId="1E65FCCA" w:rsidR="00F95C56" w:rsidRDefault="577BF0F5" w:rsidP="0014174E">
      <w:pPr>
        <w:ind w:firstLine="708"/>
        <w:jc w:val="both"/>
      </w:pPr>
      <w:r>
        <w:t xml:space="preserve"> También se encontraron resultados conducentes a discutir la teoría de Modigliani y Miller (1958, 1963), ya que en ninguno de los casos estos resultados fueron concluyentes sobre la relevancia de los escudos fiscales. Aunque en la praxis el ahorro de impuestos por tener deuda es un aspecto importante para las grandes compañías, también significa una reducción en los fondos propios de las empresas, como explica Niu (2008), lo que aumenta el costo de capital, y, por ende, se debería reducir el apalancamiento. </w:t>
      </w:r>
    </w:p>
    <w:p w14:paraId="7B8F16C4" w14:textId="77777777" w:rsidR="00263D6F" w:rsidRDefault="00263D6F" w:rsidP="0014174E">
      <w:pPr>
        <w:ind w:firstLine="708"/>
        <w:jc w:val="both"/>
        <w:rPr>
          <w:iCs/>
        </w:rPr>
      </w:pPr>
    </w:p>
    <w:p w14:paraId="603DBC95" w14:textId="67DE1EC4" w:rsidR="00F95C56" w:rsidRDefault="577BF0F5" w:rsidP="0014174E">
      <w:pPr>
        <w:ind w:firstLine="708"/>
        <w:jc w:val="both"/>
      </w:pPr>
      <w:r>
        <w:t xml:space="preserve">Con lo expuesto se puede deducir que la explicación del apalancamiento está ligada con </w:t>
      </w:r>
      <w:r w:rsidR="00F31CAD">
        <w:t xml:space="preserve">lo argumentado en </w:t>
      </w:r>
      <w:r>
        <w:t xml:space="preserve">la teoría del </w:t>
      </w:r>
      <w:r w:rsidRPr="577BF0F5">
        <w:rPr>
          <w:i/>
          <w:iCs/>
        </w:rPr>
        <w:t xml:space="preserve">Pecking Order; </w:t>
      </w:r>
      <w:r>
        <w:t>esto se reflejó en las estimaciones de los efectos de las rentabilidades y la razón corriente, e, incluso, cuan</w:t>
      </w:r>
      <w:r w:rsidR="00CD6CD5">
        <w:t xml:space="preserve">do se introducen únicamente </w:t>
      </w:r>
      <w:r w:rsidR="003004A3">
        <w:t xml:space="preserve">las variables </w:t>
      </w:r>
      <w:r w:rsidR="00263D6F">
        <w:t xml:space="preserve">de </w:t>
      </w:r>
      <w:r w:rsidR="00CD6CD5">
        <w:t xml:space="preserve">estabilidad </w:t>
      </w:r>
      <w:r w:rsidR="00263D6F">
        <w:t>financiera.</w:t>
      </w:r>
      <w:r w:rsidR="00CD6CD5">
        <w:t xml:space="preserve"> En </w:t>
      </w:r>
      <w:r w:rsidR="007C7BE3">
        <w:t>ese sentido, las empresas acumulan mayor deuda cuando tienen problemas de liquidez y mientras incurren en pérdidas durante varios trimestres</w:t>
      </w:r>
      <w:r w:rsidR="00C53364">
        <w:t>, o, incluso, cuando tienen menor rentabilidad económica</w:t>
      </w:r>
      <w:r w:rsidR="007C7BE3">
        <w:t xml:space="preserve">. </w:t>
      </w:r>
    </w:p>
    <w:p w14:paraId="5381D87E" w14:textId="77777777" w:rsidR="00263D6F" w:rsidRDefault="00263D6F" w:rsidP="0014174E">
      <w:pPr>
        <w:ind w:firstLine="708"/>
        <w:jc w:val="both"/>
        <w:rPr>
          <w:iCs/>
        </w:rPr>
      </w:pPr>
    </w:p>
    <w:p w14:paraId="192542AC" w14:textId="6DC1813E" w:rsidR="00F95C56" w:rsidRDefault="577BF0F5" w:rsidP="0014174E">
      <w:pPr>
        <w:ind w:firstLine="708"/>
        <w:jc w:val="both"/>
      </w:pPr>
      <w:r>
        <w:t xml:space="preserve">En cuanto a las diferencias entre las empresas colombianas y argentinas, en el modelo general se encontró evidencia de efectos distinguibles en épocas de crisis, pero solamente cuando estas son de carácter macroeconómico. Lo relevante en este aspecto es que, si era diferente el nivel promedio de apalancamiento entre las empresas de ambos países, era de esperarse que los efectos de las crisis para cada país también fueran diferentes; esto es coherente con lo esperado, dado que en épocas de crisis las empresas argentinas debían recibir en mayor medida que las empresas colombianas el impacto en su apalancamiento. Es necesario aclarar que, a pesar de que los determinantes </w:t>
      </w:r>
      <w:r w:rsidR="003004A3">
        <w:t>asociados únicamente a la empresa</w:t>
      </w:r>
      <w:r>
        <w:t xml:space="preserve"> son los que más inciden sobre el apalancamiento, el diferenci</w:t>
      </w:r>
      <w:r w:rsidR="003004A3">
        <w:t>al se explica por aspectos externos (sectoriales y macro)</w:t>
      </w:r>
      <w:r>
        <w:t xml:space="preserve">; por tanto, una crisis financiera a nivel </w:t>
      </w:r>
      <w:r w:rsidR="0087142A">
        <w:t>de la empresa</w:t>
      </w:r>
      <w:r>
        <w:t xml:space="preserve"> tiene mayores efectos que una crisis de carácter</w:t>
      </w:r>
      <w:r w:rsidR="0087142A">
        <w:t xml:space="preserve"> sectorial y </w:t>
      </w:r>
      <w:r>
        <w:t>macro</w:t>
      </w:r>
      <w:r w:rsidR="0087142A">
        <w:t>económico</w:t>
      </w:r>
      <w:r>
        <w:t>.</w:t>
      </w:r>
    </w:p>
    <w:p w14:paraId="404B060B" w14:textId="77777777" w:rsidR="00263D6F" w:rsidRDefault="00263D6F" w:rsidP="0014174E">
      <w:pPr>
        <w:ind w:firstLine="708"/>
        <w:jc w:val="both"/>
        <w:rPr>
          <w:iCs/>
        </w:rPr>
      </w:pPr>
    </w:p>
    <w:p w14:paraId="743E5D62" w14:textId="1933B781" w:rsidR="00F95C56" w:rsidRDefault="577BF0F5" w:rsidP="00263D6F">
      <w:pPr>
        <w:ind w:firstLine="708"/>
        <w:jc w:val="both"/>
      </w:pPr>
      <w:r>
        <w:t xml:space="preserve">Sería interesante ahondar más en investigaciones que intenten explicar las crisis en las empresas y su relación con las crisis financieras a nivel macroeconómico. De igual manera, un claro limitante de esta investigación es que para obtener conclusiones del impacto macroeconómico sería necesario abarcar una cantidad mayor de información de países y empresas, y así se podría comprobar si existen o no efectos de las variables macroeconómicas sobre el apalancamiento empresarial. </w:t>
      </w:r>
    </w:p>
    <w:p w14:paraId="600B35A4" w14:textId="77777777" w:rsidR="00DF224F" w:rsidRPr="00263D6F" w:rsidRDefault="00DF224F" w:rsidP="00263D6F">
      <w:pPr>
        <w:ind w:firstLine="708"/>
        <w:jc w:val="both"/>
        <w:rPr>
          <w:iCs/>
        </w:rPr>
      </w:pPr>
    </w:p>
    <w:sdt>
      <w:sdtPr>
        <w:rPr>
          <w:rFonts w:ascii="Times New Roman" w:eastAsia="Times New Roman" w:hAnsi="Times New Roman" w:cs="Times New Roman"/>
          <w:color w:val="auto"/>
          <w:sz w:val="24"/>
          <w:szCs w:val="24"/>
        </w:rPr>
        <w:id w:val="-1211109436"/>
        <w:docPartObj>
          <w:docPartGallery w:val="Bibliographies"/>
          <w:docPartUnique/>
        </w:docPartObj>
      </w:sdtPr>
      <w:sdtEndPr/>
      <w:sdtContent>
        <w:p w14:paraId="17917C67" w14:textId="21B7A85B" w:rsidR="00F95C56" w:rsidRDefault="007461AE" w:rsidP="007A272B">
          <w:pPr>
            <w:pStyle w:val="Ttulo1"/>
            <w:jc w:val="center"/>
            <w:rPr>
              <w:lang w:val="de-DE"/>
            </w:rPr>
          </w:pPr>
          <w:r w:rsidRPr="577BF0F5">
            <w:rPr>
              <w:rFonts w:ascii="Times New Roman" w:eastAsia="Times New Roman" w:hAnsi="Times New Roman" w:cs="Times New Roman"/>
              <w:b/>
              <w:bCs/>
              <w:color w:val="auto"/>
              <w:sz w:val="28"/>
              <w:szCs w:val="28"/>
              <w:lang w:val="de-DE"/>
            </w:rPr>
            <w:t>REFERENCIAS</w:t>
          </w:r>
        </w:p>
        <w:p w14:paraId="435E4260" w14:textId="77777777" w:rsidR="00F95C56" w:rsidRDefault="00F95C56" w:rsidP="0014174E">
          <w:pPr>
            <w:rPr>
              <w:lang w:val="de-DE"/>
            </w:rPr>
          </w:pPr>
        </w:p>
        <w:sdt>
          <w:sdtPr>
            <w:id w:val="111145805"/>
            <w:bibliography/>
          </w:sdtPr>
          <w:sdtEndPr/>
          <w:sdtContent>
            <w:p w14:paraId="1225373E" w14:textId="77777777" w:rsidR="00F95C56" w:rsidRDefault="00824E25" w:rsidP="0014174E">
              <w:pPr>
                <w:pStyle w:val="Bibliografa"/>
                <w:ind w:left="720" w:hanging="720"/>
                <w:rPr>
                  <w:noProof/>
                  <w:lang w:val="en-US"/>
                </w:rPr>
              </w:pPr>
              <w:r>
                <w:fldChar w:fldCharType="begin"/>
              </w:r>
              <w:r w:rsidR="000A438B" w:rsidRPr="003F1BB4">
                <w:rPr>
                  <w:lang w:val="de-DE"/>
                </w:rPr>
                <w:instrText>BIBLIOGRAPHY</w:instrText>
              </w:r>
              <w:r>
                <w:fldChar w:fldCharType="separate"/>
              </w:r>
              <w:r w:rsidR="00CE0AB6" w:rsidRPr="003F1BB4">
                <w:rPr>
                  <w:noProof/>
                  <w:lang w:val="de-DE"/>
                </w:rPr>
                <w:t xml:space="preserve">Assenmacher-Wesche, K., &amp; Gerlach, S. (2008, 09 24). </w:t>
              </w:r>
              <w:r w:rsidR="00CE0AB6">
                <w:rPr>
                  <w:i/>
                  <w:iCs/>
                  <w:noProof/>
                  <w:lang w:val="en-US"/>
                </w:rPr>
                <w:t>Financial Structure and the Impact of Monetary Policy on Asset Prices.</w:t>
              </w:r>
              <w:r w:rsidR="00CE0AB6">
                <w:rPr>
                  <w:noProof/>
                  <w:lang w:val="en-US"/>
                </w:rPr>
                <w:t xml:space="preserve"> Retrieved 07 01, 2016, from Goethe University Frankfurt Library: http://publikationen.ub.uni-frankfurt.de/frontdoor/index/index/year/2013/docId/5830</w:t>
              </w:r>
            </w:p>
            <w:p w14:paraId="38C4FB3F" w14:textId="77777777" w:rsidR="00F95C56" w:rsidRDefault="00CE0AB6" w:rsidP="0014174E">
              <w:pPr>
                <w:pStyle w:val="Bibliografa"/>
                <w:ind w:left="720" w:hanging="720"/>
                <w:rPr>
                  <w:noProof/>
                  <w:lang w:val="en-US"/>
                </w:rPr>
              </w:pPr>
              <w:r>
                <w:rPr>
                  <w:noProof/>
                  <w:lang w:val="en-US"/>
                </w:rPr>
                <w:t xml:space="preserve">Baker, M., &amp; Wurgler, J. (2002). Market timing and capital structure. </w:t>
              </w:r>
              <w:r>
                <w:rPr>
                  <w:i/>
                  <w:iCs/>
                  <w:noProof/>
                  <w:lang w:val="en-US"/>
                </w:rPr>
                <w:t>The Journal of Finance, 57</w:t>
              </w:r>
              <w:r>
                <w:rPr>
                  <w:noProof/>
                  <w:lang w:val="en-US"/>
                </w:rPr>
                <w:t>(1), 1-32.</w:t>
              </w:r>
            </w:p>
            <w:p w14:paraId="2BBE136F" w14:textId="77777777" w:rsidR="00643FDB" w:rsidRDefault="00643FDB" w:rsidP="0014174E">
              <w:pPr>
                <w:rPr>
                  <w:lang w:val="en-US"/>
                </w:rPr>
              </w:pPr>
            </w:p>
            <w:p w14:paraId="52202832" w14:textId="1C3ACAD0" w:rsidR="00643FDB" w:rsidRDefault="00643FDB" w:rsidP="0014174E">
              <w:pPr>
                <w:pStyle w:val="Bibliografa"/>
                <w:ind w:left="720" w:hanging="720"/>
                <w:rPr>
                  <w:lang w:val="es-ES_tradnl"/>
                </w:rPr>
              </w:pPr>
              <w:r w:rsidRPr="00643FDB">
                <w:rPr>
                  <w:lang w:val="es-ES_tradnl"/>
                </w:rPr>
                <w:t>Bernanke, B. S., Gertler, M., &amp; Gilchrist, S. (1999).</w:t>
              </w:r>
              <w:r>
                <w:rPr>
                  <w:lang w:val="es-ES_tradnl"/>
                </w:rPr>
                <w:t xml:space="preserve"> </w:t>
              </w:r>
              <w:r w:rsidRPr="00643FDB">
                <w:rPr>
                  <w:noProof/>
                  <w:lang w:val="es-ES_tradnl"/>
                </w:rPr>
                <w:t>The financial accelerator in quantitative business cycle framework.</w:t>
              </w:r>
              <w:r w:rsidRPr="00643FDB">
                <w:rPr>
                  <w:i/>
                  <w:iCs/>
                  <w:lang w:val="es-ES_tradnl"/>
                </w:rPr>
                <w:t xml:space="preserve"> Handbook of macroeconomics</w:t>
              </w:r>
              <w:r w:rsidRPr="00643FDB">
                <w:rPr>
                  <w:lang w:val="es-ES_tradnl"/>
                </w:rPr>
                <w:t>, </w:t>
              </w:r>
              <w:r w:rsidRPr="00643FDB">
                <w:rPr>
                  <w:i/>
                  <w:iCs/>
                  <w:lang w:val="es-ES_tradnl"/>
                </w:rPr>
                <w:t>1</w:t>
              </w:r>
              <w:r w:rsidRPr="00643FDB">
                <w:rPr>
                  <w:lang w:val="es-ES_tradnl"/>
                </w:rPr>
                <w:t>, 1341-1393.</w:t>
              </w:r>
            </w:p>
            <w:p w14:paraId="5EB4D196" w14:textId="77777777" w:rsidR="00643FDB" w:rsidRPr="00643FDB" w:rsidRDefault="00643FDB" w:rsidP="0014174E">
              <w:pPr>
                <w:rPr>
                  <w:lang w:val="es-ES_tradnl"/>
                </w:rPr>
              </w:pPr>
            </w:p>
            <w:p w14:paraId="77E782CA" w14:textId="77777777" w:rsidR="00F95C56" w:rsidRDefault="00CE0AB6" w:rsidP="0014174E">
              <w:pPr>
                <w:pStyle w:val="Bibliografa"/>
                <w:ind w:left="720" w:hanging="720"/>
                <w:rPr>
                  <w:noProof/>
                  <w:lang w:val="en-US"/>
                </w:rPr>
              </w:pPr>
              <w:r w:rsidRPr="0080624B">
                <w:rPr>
                  <w:noProof/>
                  <w:lang w:val="en-US"/>
                </w:rPr>
                <w:t xml:space="preserve">Céspedes, J., González, M., &amp; Molina, C. (2010). </w:t>
              </w:r>
              <w:r>
                <w:rPr>
                  <w:noProof/>
                  <w:lang w:val="en-US"/>
                </w:rPr>
                <w:t xml:space="preserve">Ownership and capital structure in Latin America. </w:t>
              </w:r>
              <w:r>
                <w:rPr>
                  <w:i/>
                  <w:iCs/>
                  <w:noProof/>
                  <w:lang w:val="en-US"/>
                </w:rPr>
                <w:t>Journal of Business Research, 63</w:t>
              </w:r>
              <w:r>
                <w:rPr>
                  <w:noProof/>
                  <w:lang w:val="en-US"/>
                </w:rPr>
                <w:t>(3), 248-254.</w:t>
              </w:r>
            </w:p>
            <w:p w14:paraId="07917699" w14:textId="77777777" w:rsidR="00F95C56" w:rsidRDefault="00CE0AB6" w:rsidP="0014174E">
              <w:pPr>
                <w:pStyle w:val="Bibliografa"/>
                <w:ind w:left="720" w:hanging="720"/>
                <w:rPr>
                  <w:noProof/>
                  <w:lang w:val="en-US"/>
                </w:rPr>
              </w:pPr>
              <w:r>
                <w:rPr>
                  <w:noProof/>
                  <w:lang w:val="en-US"/>
                </w:rPr>
                <w:t xml:space="preserve">Leland, H. (1994). Corporate debt value, bond covenants, and optimal capital structure. </w:t>
              </w:r>
              <w:r>
                <w:rPr>
                  <w:i/>
                  <w:iCs/>
                  <w:noProof/>
                  <w:lang w:val="en-US"/>
                </w:rPr>
                <w:t>The Journal of Finance, 49</w:t>
              </w:r>
              <w:r>
                <w:rPr>
                  <w:noProof/>
                  <w:lang w:val="en-US"/>
                </w:rPr>
                <w:t>(4), 1213-1252.</w:t>
              </w:r>
            </w:p>
            <w:p w14:paraId="727F7EC1" w14:textId="77777777" w:rsidR="00F95C56" w:rsidRDefault="00CE0AB6" w:rsidP="0014174E">
              <w:pPr>
                <w:pStyle w:val="Bibliografa"/>
                <w:ind w:left="720" w:hanging="720"/>
                <w:rPr>
                  <w:noProof/>
                  <w:lang w:val="en-US"/>
                </w:rPr>
              </w:pPr>
              <w:r>
                <w:rPr>
                  <w:noProof/>
                  <w:lang w:val="en-US"/>
                </w:rPr>
                <w:t xml:space="preserve">Leland, H., &amp; Toft, K. (1996). Optimal capital structure, endogenous bankruptcy, and the term structure of credit spreads. </w:t>
              </w:r>
              <w:r>
                <w:rPr>
                  <w:i/>
                  <w:iCs/>
                  <w:noProof/>
                  <w:lang w:val="en-US"/>
                </w:rPr>
                <w:t>The Journal of Finance, 51</w:t>
              </w:r>
              <w:r>
                <w:rPr>
                  <w:noProof/>
                  <w:lang w:val="en-US"/>
                </w:rPr>
                <w:t>(3), 987-1019.</w:t>
              </w:r>
            </w:p>
            <w:p w14:paraId="202EB4A4" w14:textId="77777777" w:rsidR="00F95C56" w:rsidRDefault="00CE0AB6" w:rsidP="0014174E">
              <w:pPr>
                <w:pStyle w:val="Bibliografa"/>
                <w:ind w:left="720" w:hanging="720"/>
                <w:rPr>
                  <w:noProof/>
                  <w:lang w:val="en-US"/>
                </w:rPr>
              </w:pPr>
              <w:r>
                <w:rPr>
                  <w:noProof/>
                  <w:lang w:val="en-US"/>
                </w:rPr>
                <w:t xml:space="preserve">Miller, M. (1977). Debt and Taxes. </w:t>
              </w:r>
              <w:r>
                <w:rPr>
                  <w:i/>
                  <w:iCs/>
                  <w:noProof/>
                  <w:lang w:val="en-US"/>
                </w:rPr>
                <w:t>The Journal of Finance, 32</w:t>
              </w:r>
              <w:r>
                <w:rPr>
                  <w:noProof/>
                  <w:lang w:val="en-US"/>
                </w:rPr>
                <w:t>(2), 261-275.</w:t>
              </w:r>
            </w:p>
            <w:p w14:paraId="3AD4BB3D" w14:textId="77777777" w:rsidR="00F95C56" w:rsidRDefault="00CE0AB6" w:rsidP="0014174E">
              <w:pPr>
                <w:pStyle w:val="Bibliografa"/>
                <w:ind w:left="720" w:hanging="720"/>
                <w:rPr>
                  <w:noProof/>
                  <w:lang w:val="en-US"/>
                </w:rPr>
              </w:pPr>
              <w:r>
                <w:rPr>
                  <w:noProof/>
                  <w:lang w:val="en-US"/>
                </w:rPr>
                <w:t xml:space="preserve">Minsky, H. (1982). </w:t>
              </w:r>
              <w:r>
                <w:rPr>
                  <w:i/>
                  <w:iCs/>
                  <w:noProof/>
                  <w:lang w:val="en-US"/>
                </w:rPr>
                <w:t>Can’t it happend again: essays on instability and finance.</w:t>
              </w:r>
              <w:r>
                <w:rPr>
                  <w:noProof/>
                  <w:lang w:val="en-US"/>
                </w:rPr>
                <w:t xml:space="preserve"> Armonk, NY: M.E Sharpe, Inc.</w:t>
              </w:r>
            </w:p>
            <w:p w14:paraId="0E1FEDD4" w14:textId="77777777" w:rsidR="00F95C56" w:rsidRDefault="00CE0AB6" w:rsidP="0014174E">
              <w:pPr>
                <w:pStyle w:val="Bibliografa"/>
                <w:ind w:left="720" w:hanging="720"/>
                <w:rPr>
                  <w:noProof/>
                  <w:lang w:val="en-US"/>
                </w:rPr>
              </w:pPr>
              <w:r>
                <w:rPr>
                  <w:noProof/>
                  <w:lang w:val="en-US"/>
                </w:rPr>
                <w:t xml:space="preserve">Modigliani, F., &amp; Miller, M. (1958). The cost of capital, corporation finance and the theory of investment. </w:t>
              </w:r>
              <w:r>
                <w:rPr>
                  <w:i/>
                  <w:iCs/>
                  <w:noProof/>
                  <w:lang w:val="en-US"/>
                </w:rPr>
                <w:t>The American Economic Review, 48</w:t>
              </w:r>
              <w:r>
                <w:rPr>
                  <w:noProof/>
                  <w:lang w:val="en-US"/>
                </w:rPr>
                <w:t>(3), 261-297.</w:t>
              </w:r>
            </w:p>
            <w:p w14:paraId="79F3893F" w14:textId="77777777" w:rsidR="00F95C56" w:rsidRDefault="00CE0AB6" w:rsidP="0014174E">
              <w:pPr>
                <w:pStyle w:val="Bibliografa"/>
                <w:ind w:left="720" w:hanging="720"/>
                <w:rPr>
                  <w:noProof/>
                  <w:lang w:val="en-US"/>
                </w:rPr>
              </w:pPr>
              <w:r>
                <w:rPr>
                  <w:noProof/>
                  <w:lang w:val="en-US"/>
                </w:rPr>
                <w:t xml:space="preserve">Modigliani, F., &amp; Miller, M. (1963). Corporate income taxes and the cost of capital: a correction. </w:t>
              </w:r>
              <w:r>
                <w:rPr>
                  <w:i/>
                  <w:iCs/>
                  <w:noProof/>
                  <w:lang w:val="en-US"/>
                </w:rPr>
                <w:t>The American Economic Review, 53</w:t>
              </w:r>
              <w:r>
                <w:rPr>
                  <w:noProof/>
                  <w:lang w:val="en-US"/>
                </w:rPr>
                <w:t>(3), 433-443.</w:t>
              </w:r>
            </w:p>
            <w:p w14:paraId="0EE52EAD" w14:textId="77777777" w:rsidR="00F95C56" w:rsidRDefault="00CE0AB6" w:rsidP="0014174E">
              <w:pPr>
                <w:pStyle w:val="Bibliografa"/>
                <w:ind w:left="720" w:hanging="720"/>
                <w:rPr>
                  <w:noProof/>
                  <w:lang w:val="en-US"/>
                </w:rPr>
              </w:pPr>
              <w:r>
                <w:rPr>
                  <w:noProof/>
                  <w:lang w:val="en-US"/>
                </w:rPr>
                <w:t xml:space="preserve">Moore, T., Han, Y., &amp; Clayton, R. (2012). The postmodern Ponzi scheme: empirical analysis of high-yield investment programs. </w:t>
              </w:r>
              <w:r>
                <w:rPr>
                  <w:i/>
                  <w:iCs/>
                  <w:noProof/>
                  <w:lang w:val="en-US"/>
                </w:rPr>
                <w:t>International Conference on financial cryptography and data security.</w:t>
              </w:r>
              <w:r>
                <w:rPr>
                  <w:noProof/>
                  <w:lang w:val="en-US"/>
                </w:rPr>
                <w:t xml:space="preserve"> </w:t>
              </w:r>
              <w:r>
                <w:rPr>
                  <w:i/>
                  <w:iCs/>
                  <w:noProof/>
                  <w:lang w:val="en-US"/>
                </w:rPr>
                <w:t>7397</w:t>
              </w:r>
              <w:r>
                <w:rPr>
                  <w:noProof/>
                  <w:lang w:val="en-US"/>
                </w:rPr>
                <w:t>, pp. 41-56. Berlin: Springer.</w:t>
              </w:r>
            </w:p>
            <w:p w14:paraId="093C4ED6" w14:textId="77777777" w:rsidR="00F95C56" w:rsidRDefault="00CE0AB6" w:rsidP="0014174E">
              <w:pPr>
                <w:pStyle w:val="Bibliografa"/>
                <w:ind w:left="720" w:hanging="720"/>
                <w:rPr>
                  <w:noProof/>
                  <w:lang w:val="en-US"/>
                </w:rPr>
              </w:pPr>
              <w:r>
                <w:rPr>
                  <w:noProof/>
                  <w:lang w:val="en-US"/>
                </w:rPr>
                <w:t xml:space="preserve">Myers, S. (1984). The capital structure puzzle. </w:t>
              </w:r>
              <w:r>
                <w:rPr>
                  <w:i/>
                  <w:iCs/>
                  <w:noProof/>
                  <w:lang w:val="en-US"/>
                </w:rPr>
                <w:t>The Journal of Finance, 39</w:t>
              </w:r>
              <w:r>
                <w:rPr>
                  <w:noProof/>
                  <w:lang w:val="en-US"/>
                </w:rPr>
                <w:t>(3), 574-592.</w:t>
              </w:r>
            </w:p>
            <w:p w14:paraId="69A90CC1" w14:textId="77777777" w:rsidR="00F95C56" w:rsidRDefault="00CE0AB6" w:rsidP="0014174E">
              <w:pPr>
                <w:pStyle w:val="Bibliografa"/>
                <w:ind w:left="720" w:hanging="720"/>
                <w:rPr>
                  <w:noProof/>
                  <w:lang w:val="en-US"/>
                </w:rPr>
              </w:pPr>
              <w:r>
                <w:rPr>
                  <w:noProof/>
                  <w:lang w:val="en-US"/>
                </w:rPr>
                <w:t xml:space="preserve">Myers, S., &amp; Majluf, N. (1984). Corporate financing and investment decisions when firms have information that investors do not have. </w:t>
              </w:r>
              <w:r>
                <w:rPr>
                  <w:i/>
                  <w:iCs/>
                  <w:noProof/>
                  <w:lang w:val="en-US"/>
                </w:rPr>
                <w:t xml:space="preserve">Journal of </w:t>
              </w:r>
              <w:r w:rsidR="00FF6A47">
                <w:rPr>
                  <w:i/>
                  <w:iCs/>
                  <w:noProof/>
                  <w:lang w:val="en-US"/>
                </w:rPr>
                <w:t>Financial Eco</w:t>
              </w:r>
              <w:r>
                <w:rPr>
                  <w:i/>
                  <w:iCs/>
                  <w:noProof/>
                  <w:lang w:val="en-US"/>
                </w:rPr>
                <w:t>nomics, 13</w:t>
              </w:r>
              <w:r>
                <w:rPr>
                  <w:noProof/>
                  <w:lang w:val="en-US"/>
                </w:rPr>
                <w:t>(2), 187-221.</w:t>
              </w:r>
            </w:p>
            <w:p w14:paraId="155B3DFA" w14:textId="77777777" w:rsidR="00F95C56" w:rsidRDefault="00CE0AB6" w:rsidP="0014174E">
              <w:pPr>
                <w:pStyle w:val="Bibliografa"/>
                <w:ind w:left="720" w:hanging="720"/>
                <w:rPr>
                  <w:noProof/>
                  <w:lang w:val="en-US"/>
                </w:rPr>
              </w:pPr>
              <w:r>
                <w:rPr>
                  <w:noProof/>
                  <w:lang w:val="en-US"/>
                </w:rPr>
                <w:t xml:space="preserve">Niu, X. (2008). Theoretical and practical review of capital structure and its determinants. </w:t>
              </w:r>
              <w:r>
                <w:rPr>
                  <w:i/>
                  <w:iCs/>
                  <w:noProof/>
                  <w:lang w:val="en-US"/>
                </w:rPr>
                <w:t>International Journal of Business and Management, 3</w:t>
              </w:r>
              <w:r>
                <w:rPr>
                  <w:noProof/>
                  <w:lang w:val="en-US"/>
                </w:rPr>
                <w:t>(3), 133-139.</w:t>
              </w:r>
            </w:p>
            <w:p w14:paraId="68656EF1" w14:textId="77777777" w:rsidR="00F95C56" w:rsidRDefault="00CE0AB6" w:rsidP="0014174E">
              <w:pPr>
                <w:pStyle w:val="Bibliografa"/>
                <w:ind w:left="720" w:hanging="720"/>
                <w:rPr>
                  <w:noProof/>
                  <w:lang w:val="en-US"/>
                </w:rPr>
              </w:pPr>
              <w:r>
                <w:rPr>
                  <w:noProof/>
                  <w:lang w:val="en-US"/>
                </w:rPr>
                <w:t xml:space="preserve">Niu, X. (2008). Theoretical and Practical Review of Capital Structure and its Determinants. In X. Niu, </w:t>
              </w:r>
              <w:r>
                <w:rPr>
                  <w:i/>
                  <w:iCs/>
                  <w:noProof/>
                  <w:lang w:val="en-US"/>
                </w:rPr>
                <w:t>Theoretical and Practical Review of Capital Structure and its Determinants.</w:t>
              </w:r>
              <w:r>
                <w:rPr>
                  <w:noProof/>
                  <w:lang w:val="en-US"/>
                </w:rPr>
                <w:t xml:space="preserve"> Shandong, China: Jinan.</w:t>
              </w:r>
            </w:p>
            <w:p w14:paraId="165E0C90" w14:textId="77777777" w:rsidR="00F95C56" w:rsidRDefault="00CE0AB6" w:rsidP="0014174E">
              <w:pPr>
                <w:pStyle w:val="Bibliografa"/>
                <w:ind w:left="720" w:hanging="720"/>
                <w:rPr>
                  <w:noProof/>
                  <w:lang w:val="en-US"/>
                </w:rPr>
              </w:pPr>
              <w:r>
                <w:rPr>
                  <w:noProof/>
                  <w:lang w:val="en-US"/>
                </w:rPr>
                <w:t xml:space="preserve">Rajan, R., &amp; Zingales, L. (1995). What do we know about capital structure? Some evidence from international data. </w:t>
              </w:r>
              <w:r>
                <w:rPr>
                  <w:i/>
                  <w:iCs/>
                  <w:noProof/>
                  <w:lang w:val="en-US"/>
                </w:rPr>
                <w:t>The Journal of Finance, 50</w:t>
              </w:r>
              <w:r>
                <w:rPr>
                  <w:noProof/>
                  <w:lang w:val="en-US"/>
                </w:rPr>
                <w:t>(5), 1421-1460.</w:t>
              </w:r>
            </w:p>
            <w:p w14:paraId="01DED6E9" w14:textId="77777777" w:rsidR="00F95C56" w:rsidRDefault="00CE0AB6" w:rsidP="0014174E">
              <w:pPr>
                <w:pStyle w:val="Bibliografa"/>
                <w:ind w:left="720" w:hanging="720"/>
                <w:rPr>
                  <w:noProof/>
                  <w:lang w:val="en-US"/>
                </w:rPr>
              </w:pPr>
              <w:r w:rsidRPr="00CE0AB6">
                <w:rPr>
                  <w:noProof/>
                  <w:lang w:val="es-CO"/>
                </w:rPr>
                <w:t xml:space="preserve">Revista Dinero. (2015, 12 6). </w:t>
              </w:r>
              <w:r w:rsidRPr="00CE0AB6">
                <w:rPr>
                  <w:i/>
                  <w:iCs/>
                  <w:noProof/>
                  <w:lang w:val="es-CO"/>
                </w:rPr>
                <w:t>Crecimiento económico: cuáles sectores ganan, pierden y quedan igual.</w:t>
              </w:r>
              <w:r w:rsidRPr="00CE0AB6">
                <w:rPr>
                  <w:noProof/>
                  <w:lang w:val="es-CO"/>
                </w:rPr>
                <w:t xml:space="preserve"> </w:t>
              </w:r>
              <w:r>
                <w:rPr>
                  <w:noProof/>
                  <w:lang w:val="en-US"/>
                </w:rPr>
                <w:t>Retrieved 7 30, 2016, from www.dinero.com: http://www.dinero.com/economia/articulo/crecimiento-del-producto-interno-bruto-colombia-primer-trimestre-2015/209538</w:t>
              </w:r>
            </w:p>
            <w:p w14:paraId="5CE752E7" w14:textId="77777777" w:rsidR="00F95C56" w:rsidRDefault="00CE0AB6" w:rsidP="0014174E">
              <w:pPr>
                <w:pStyle w:val="Bibliografa"/>
                <w:ind w:left="720" w:hanging="720"/>
                <w:rPr>
                  <w:noProof/>
                  <w:lang w:val="en-US"/>
                </w:rPr>
              </w:pPr>
              <w:r w:rsidRPr="00CE0AB6">
                <w:rPr>
                  <w:noProof/>
                  <w:lang w:val="es-CO"/>
                </w:rPr>
                <w:lastRenderedPageBreak/>
                <w:t xml:space="preserve">Rodriguez, J., &amp; Moreno, A. (2011). </w:t>
              </w:r>
              <w:r w:rsidRPr="00CE0AB6">
                <w:rPr>
                  <w:i/>
                  <w:iCs/>
                  <w:noProof/>
                  <w:lang w:val="es-CO"/>
                </w:rPr>
                <w:t>Fragilidad financiera de las firmas en Colombia, 2000-2006: Un análisis discriminante de un modelo Minskiano.</w:t>
              </w:r>
              <w:r w:rsidRPr="00CE0AB6">
                <w:rPr>
                  <w:noProof/>
                  <w:lang w:val="es-CO"/>
                </w:rPr>
                <w:t xml:space="preserve"> </w:t>
              </w:r>
              <w:r>
                <w:rPr>
                  <w:noProof/>
                  <w:lang w:val="en-US"/>
                </w:rPr>
                <w:t>Bogotá: Facultad de Ciencias Económicas, Universidad Nacional.</w:t>
              </w:r>
            </w:p>
            <w:p w14:paraId="316452D8" w14:textId="77777777" w:rsidR="00F95C56" w:rsidRDefault="00CE0AB6" w:rsidP="0014174E">
              <w:pPr>
                <w:pStyle w:val="Bibliografa"/>
                <w:ind w:left="720" w:hanging="720"/>
                <w:rPr>
                  <w:noProof/>
                  <w:lang w:val="en-US"/>
                </w:rPr>
              </w:pPr>
              <w:r>
                <w:rPr>
                  <w:noProof/>
                  <w:lang w:val="en-US"/>
                </w:rPr>
                <w:t xml:space="preserve">Ross, S. (1977). The determination of financial structure: the incentive-signalling approach. </w:t>
              </w:r>
              <w:r>
                <w:rPr>
                  <w:i/>
                  <w:iCs/>
                  <w:noProof/>
                  <w:lang w:val="en-US"/>
                </w:rPr>
                <w:t>The Bell Journal of Economics, 8</w:t>
              </w:r>
              <w:r>
                <w:rPr>
                  <w:noProof/>
                  <w:lang w:val="en-US"/>
                </w:rPr>
                <w:t>(1), 23-40.</w:t>
              </w:r>
            </w:p>
            <w:p w14:paraId="70CAFAAA" w14:textId="77777777" w:rsidR="00F95C56" w:rsidRDefault="00824E25" w:rsidP="0014174E">
              <w:pPr>
                <w:pStyle w:val="Bibliografa"/>
                <w:ind w:left="720" w:hanging="720"/>
                <w:rPr>
                  <w:noProof/>
                  <w:lang w:val="es-CO"/>
                </w:rPr>
              </w:pPr>
              <w:r w:rsidRPr="0080624B">
                <w:rPr>
                  <w:noProof/>
                  <w:lang w:val="es-CO"/>
                </w:rPr>
                <w:t xml:space="preserve">Tenjo, F., López, E., &amp; Zamudio, N. (2006). </w:t>
              </w:r>
              <w:r w:rsidR="00CE0AB6" w:rsidRPr="00CE0AB6">
                <w:rPr>
                  <w:noProof/>
                  <w:lang w:val="es-CO"/>
                </w:rPr>
                <w:t xml:space="preserve">Determinantes de la estructura de capital de las empresas (1996-2002). </w:t>
              </w:r>
              <w:r w:rsidR="00CE0AB6" w:rsidRPr="00CE0AB6">
                <w:rPr>
                  <w:i/>
                  <w:iCs/>
                  <w:noProof/>
                  <w:lang w:val="es-CO"/>
                </w:rPr>
                <w:t>Borradores de Economía</w:t>
              </w:r>
              <w:r w:rsidR="00FF6A47">
                <w:rPr>
                  <w:i/>
                  <w:iCs/>
                  <w:noProof/>
                  <w:lang w:val="es-CO"/>
                </w:rPr>
                <w:t xml:space="preserve">, </w:t>
              </w:r>
              <w:r w:rsidR="00CE0AB6" w:rsidRPr="00CE0AB6">
                <w:rPr>
                  <w:noProof/>
                  <w:lang w:val="es-CO"/>
                </w:rPr>
                <w:t>(380), 1-38.</w:t>
              </w:r>
            </w:p>
            <w:p w14:paraId="35FF2F90" w14:textId="77777777" w:rsidR="00F95C56" w:rsidRDefault="00CE0AB6" w:rsidP="0014174E">
              <w:pPr>
                <w:pStyle w:val="Bibliografa"/>
                <w:ind w:left="720" w:hanging="720"/>
                <w:rPr>
                  <w:noProof/>
                  <w:lang w:val="en-US"/>
                </w:rPr>
              </w:pPr>
              <w:r w:rsidRPr="00CE0AB6">
                <w:rPr>
                  <w:noProof/>
                  <w:lang w:val="es-CO"/>
                </w:rPr>
                <w:t xml:space="preserve">Virgen, V., &amp; Rivera, J. (2012). Condiciones financieras que impactan la estructura financiera de la industria de cosméticos y aseo en Colombia. </w:t>
              </w:r>
              <w:r>
                <w:rPr>
                  <w:i/>
                  <w:iCs/>
                  <w:noProof/>
                  <w:lang w:val="en-US"/>
                </w:rPr>
                <w:t>Cuadernos de Administración, 25</w:t>
              </w:r>
              <w:r>
                <w:rPr>
                  <w:noProof/>
                  <w:lang w:val="en-US"/>
                </w:rPr>
                <w:t>(44), 175-191.</w:t>
              </w:r>
            </w:p>
            <w:p w14:paraId="19D07F0E" w14:textId="77777777" w:rsidR="00F95C56" w:rsidRDefault="00824E25" w:rsidP="0014174E">
              <w:pPr>
                <w:jc w:val="both"/>
              </w:pPr>
              <w:r>
                <w:rPr>
                  <w:b/>
                  <w:bCs/>
                </w:rPr>
                <w:fldChar w:fldCharType="end"/>
              </w:r>
            </w:p>
          </w:sdtContent>
        </w:sdt>
      </w:sdtContent>
    </w:sdt>
    <w:sectPr w:rsidR="00F95C56" w:rsidSect="003C0F2E">
      <w:footerReference w:type="default" r:id="rId8"/>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A4C86" w14:textId="77777777" w:rsidR="00AC55AB" w:rsidRDefault="00AC55AB" w:rsidP="00D95F55">
      <w:r>
        <w:separator/>
      </w:r>
    </w:p>
  </w:endnote>
  <w:endnote w:type="continuationSeparator" w:id="0">
    <w:p w14:paraId="66399024" w14:textId="77777777" w:rsidR="00AC55AB" w:rsidRDefault="00AC55AB" w:rsidP="00D9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Cambria Math">
    <w:panose1 w:val="02040503050406030204"/>
    <w:charset w:val="00"/>
    <w:family w:val="auto"/>
    <w:pitch w:val="variable"/>
    <w:sig w:usb0="E00002FF" w:usb1="42002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0518894"/>
      <w:docPartObj>
        <w:docPartGallery w:val="Page Numbers (Bottom of Page)"/>
        <w:docPartUnique/>
      </w:docPartObj>
    </w:sdtPr>
    <w:sdtEndPr/>
    <w:sdtContent>
      <w:p w14:paraId="0944F088" w14:textId="148B32CA" w:rsidR="007A272B" w:rsidRDefault="007A272B">
        <w:pPr>
          <w:pStyle w:val="Piedepgina"/>
          <w:jc w:val="right"/>
        </w:pPr>
        <w:r>
          <w:fldChar w:fldCharType="begin"/>
        </w:r>
        <w:r>
          <w:instrText>PAGE   \* MERGEFORMAT</w:instrText>
        </w:r>
        <w:r>
          <w:fldChar w:fldCharType="separate"/>
        </w:r>
        <w:r w:rsidR="00F7453D">
          <w:rPr>
            <w:noProof/>
          </w:rPr>
          <w:t>6</w:t>
        </w:r>
        <w:r>
          <w:rPr>
            <w:noProof/>
          </w:rPr>
          <w:fldChar w:fldCharType="end"/>
        </w:r>
      </w:p>
    </w:sdtContent>
  </w:sdt>
  <w:p w14:paraId="34CC536B" w14:textId="77777777" w:rsidR="007A272B" w:rsidRDefault="007A272B">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1F01B" w14:textId="77777777" w:rsidR="00AC55AB" w:rsidRDefault="00AC55AB" w:rsidP="00D95F55">
      <w:r>
        <w:separator/>
      </w:r>
    </w:p>
  </w:footnote>
  <w:footnote w:type="continuationSeparator" w:id="0">
    <w:p w14:paraId="22F185CA" w14:textId="77777777" w:rsidR="00AC55AB" w:rsidRDefault="00AC55AB" w:rsidP="00D95F55">
      <w:r>
        <w:continuationSeparator/>
      </w:r>
    </w:p>
  </w:footnote>
  <w:footnote w:id="1">
    <w:p w14:paraId="63E237FD" w14:textId="77777777" w:rsidR="007A272B" w:rsidRPr="00F86C75" w:rsidRDefault="007A272B" w:rsidP="008A52CF">
      <w:pPr>
        <w:pStyle w:val="Textonotapie"/>
        <w:rPr>
          <w:lang w:val="es-CO"/>
        </w:rPr>
      </w:pPr>
      <w:r>
        <w:rPr>
          <w:rStyle w:val="Refdenotaalpie"/>
        </w:rPr>
        <w:footnoteRef/>
      </w:r>
      <w:r>
        <w:t xml:space="preserve"> </w:t>
      </w:r>
      <w:r>
        <w:rPr>
          <w:lang w:val="es-CO"/>
        </w:rPr>
        <w:t xml:space="preserve">Es un esquema de inversión conocido como HYIP, por su sigla en inglés (programa de inversión de alto rendimiento), que paga rendimientos considerablemente superiores a los del mercado, mediante el uso de dinero de nuevos inversionistas, al estilo de una pirámide </w:t>
      </w:r>
      <w:sdt>
        <w:sdtPr>
          <w:rPr>
            <w:lang w:val="es-CO"/>
          </w:rPr>
          <w:id w:val="751317984"/>
          <w:citation/>
        </w:sdtPr>
        <w:sdtEndPr/>
        <w:sdtContent>
          <w:r>
            <w:rPr>
              <w:lang w:val="es-CO"/>
            </w:rPr>
            <w:fldChar w:fldCharType="begin"/>
          </w:r>
          <w:r>
            <w:rPr>
              <w:lang w:val="es-CO"/>
            </w:rPr>
            <w:instrText xml:space="preserve"> CITATION Moo12 \l 9226 </w:instrText>
          </w:r>
          <w:r>
            <w:rPr>
              <w:lang w:val="es-CO"/>
            </w:rPr>
            <w:fldChar w:fldCharType="separate"/>
          </w:r>
          <w:r w:rsidRPr="00CE0AB6">
            <w:rPr>
              <w:noProof/>
              <w:lang w:val="es-CO"/>
            </w:rPr>
            <w:t>(Moore, Han, &amp; Clayton, 2012)</w:t>
          </w:r>
          <w:r>
            <w:rPr>
              <w:lang w:val="es-CO"/>
            </w:rPr>
            <w:fldChar w:fldCharType="end"/>
          </w:r>
        </w:sdtContent>
      </w:sdt>
      <w:r>
        <w:rPr>
          <w:lang w:val="es-CO"/>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62E9A"/>
    <w:multiLevelType w:val="hybridMultilevel"/>
    <w:tmpl w:val="F510F83C"/>
    <w:lvl w:ilvl="0" w:tplc="B704910C">
      <w:start w:val="1"/>
      <w:numFmt w:val="bullet"/>
      <w:lvlText w:val="-"/>
      <w:lvlJc w:val="left"/>
      <w:pPr>
        <w:tabs>
          <w:tab w:val="num" w:pos="720"/>
        </w:tabs>
        <w:ind w:left="720" w:hanging="360"/>
      </w:pPr>
      <w:rPr>
        <w:rFonts w:ascii="Arial" w:hAnsi="Arial" w:hint="default"/>
      </w:rPr>
    </w:lvl>
    <w:lvl w:ilvl="1" w:tplc="F4ECC92A">
      <w:start w:val="1"/>
      <w:numFmt w:val="bullet"/>
      <w:lvlText w:val="-"/>
      <w:lvlJc w:val="left"/>
      <w:pPr>
        <w:tabs>
          <w:tab w:val="num" w:pos="1440"/>
        </w:tabs>
        <w:ind w:left="1440" w:hanging="360"/>
      </w:pPr>
      <w:rPr>
        <w:rFonts w:ascii="Arial" w:hAnsi="Arial" w:hint="default"/>
      </w:rPr>
    </w:lvl>
    <w:lvl w:ilvl="2" w:tplc="0480DD40" w:tentative="1">
      <w:start w:val="1"/>
      <w:numFmt w:val="bullet"/>
      <w:lvlText w:val="-"/>
      <w:lvlJc w:val="left"/>
      <w:pPr>
        <w:tabs>
          <w:tab w:val="num" w:pos="2160"/>
        </w:tabs>
        <w:ind w:left="2160" w:hanging="360"/>
      </w:pPr>
      <w:rPr>
        <w:rFonts w:ascii="Arial" w:hAnsi="Arial" w:hint="default"/>
      </w:rPr>
    </w:lvl>
    <w:lvl w:ilvl="3" w:tplc="7CFC3C42" w:tentative="1">
      <w:start w:val="1"/>
      <w:numFmt w:val="bullet"/>
      <w:lvlText w:val="-"/>
      <w:lvlJc w:val="left"/>
      <w:pPr>
        <w:tabs>
          <w:tab w:val="num" w:pos="2880"/>
        </w:tabs>
        <w:ind w:left="2880" w:hanging="360"/>
      </w:pPr>
      <w:rPr>
        <w:rFonts w:ascii="Arial" w:hAnsi="Arial" w:hint="default"/>
      </w:rPr>
    </w:lvl>
    <w:lvl w:ilvl="4" w:tplc="12188BDE" w:tentative="1">
      <w:start w:val="1"/>
      <w:numFmt w:val="bullet"/>
      <w:lvlText w:val="-"/>
      <w:lvlJc w:val="left"/>
      <w:pPr>
        <w:tabs>
          <w:tab w:val="num" w:pos="3600"/>
        </w:tabs>
        <w:ind w:left="3600" w:hanging="360"/>
      </w:pPr>
      <w:rPr>
        <w:rFonts w:ascii="Arial" w:hAnsi="Arial" w:hint="default"/>
      </w:rPr>
    </w:lvl>
    <w:lvl w:ilvl="5" w:tplc="2664235A" w:tentative="1">
      <w:start w:val="1"/>
      <w:numFmt w:val="bullet"/>
      <w:lvlText w:val="-"/>
      <w:lvlJc w:val="left"/>
      <w:pPr>
        <w:tabs>
          <w:tab w:val="num" w:pos="4320"/>
        </w:tabs>
        <w:ind w:left="4320" w:hanging="360"/>
      </w:pPr>
      <w:rPr>
        <w:rFonts w:ascii="Arial" w:hAnsi="Arial" w:hint="default"/>
      </w:rPr>
    </w:lvl>
    <w:lvl w:ilvl="6" w:tplc="98FA1324" w:tentative="1">
      <w:start w:val="1"/>
      <w:numFmt w:val="bullet"/>
      <w:lvlText w:val="-"/>
      <w:lvlJc w:val="left"/>
      <w:pPr>
        <w:tabs>
          <w:tab w:val="num" w:pos="5040"/>
        </w:tabs>
        <w:ind w:left="5040" w:hanging="360"/>
      </w:pPr>
      <w:rPr>
        <w:rFonts w:ascii="Arial" w:hAnsi="Arial" w:hint="default"/>
      </w:rPr>
    </w:lvl>
    <w:lvl w:ilvl="7" w:tplc="8EA27A16" w:tentative="1">
      <w:start w:val="1"/>
      <w:numFmt w:val="bullet"/>
      <w:lvlText w:val="-"/>
      <w:lvlJc w:val="left"/>
      <w:pPr>
        <w:tabs>
          <w:tab w:val="num" w:pos="5760"/>
        </w:tabs>
        <w:ind w:left="5760" w:hanging="360"/>
      </w:pPr>
      <w:rPr>
        <w:rFonts w:ascii="Arial" w:hAnsi="Arial" w:hint="default"/>
      </w:rPr>
    </w:lvl>
    <w:lvl w:ilvl="8" w:tplc="085C004C" w:tentative="1">
      <w:start w:val="1"/>
      <w:numFmt w:val="bullet"/>
      <w:lvlText w:val="-"/>
      <w:lvlJc w:val="left"/>
      <w:pPr>
        <w:tabs>
          <w:tab w:val="num" w:pos="6480"/>
        </w:tabs>
        <w:ind w:left="6480" w:hanging="360"/>
      </w:pPr>
      <w:rPr>
        <w:rFonts w:ascii="Arial" w:hAnsi="Arial" w:hint="default"/>
      </w:rPr>
    </w:lvl>
  </w:abstractNum>
  <w:abstractNum w:abstractNumId="1">
    <w:nsid w:val="0F624ED7"/>
    <w:multiLevelType w:val="hybridMultilevel"/>
    <w:tmpl w:val="85046AC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4894476"/>
    <w:multiLevelType w:val="hybridMultilevel"/>
    <w:tmpl w:val="2FC27CB0"/>
    <w:lvl w:ilvl="0" w:tplc="756AFB5A">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5AD0AE3"/>
    <w:multiLevelType w:val="hybridMultilevel"/>
    <w:tmpl w:val="61FC805A"/>
    <w:lvl w:ilvl="0" w:tplc="F39C603C">
      <w:numFmt w:val="bullet"/>
      <w:lvlText w:val=""/>
      <w:lvlJc w:val="left"/>
      <w:pPr>
        <w:ind w:left="1440" w:hanging="360"/>
      </w:pPr>
      <w:rPr>
        <w:rFonts w:ascii="Symbol" w:eastAsia="Times New Roman" w:hAnsi="Symbol" w:cs="Times New Roman"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2AB50C63"/>
    <w:multiLevelType w:val="hybridMultilevel"/>
    <w:tmpl w:val="2000FB2A"/>
    <w:lvl w:ilvl="0" w:tplc="C4463F4E">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A2A248B"/>
    <w:multiLevelType w:val="hybridMultilevel"/>
    <w:tmpl w:val="0CCAE14C"/>
    <w:lvl w:ilvl="0" w:tplc="7FD6970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nsid w:val="4EFE2BDF"/>
    <w:multiLevelType w:val="hybridMultilevel"/>
    <w:tmpl w:val="803CE246"/>
    <w:lvl w:ilvl="0" w:tplc="50065F9C">
      <w:start w:val="1"/>
      <w:numFmt w:val="bullet"/>
      <w:lvlText w:val=""/>
      <w:lvlJc w:val="left"/>
      <w:pPr>
        <w:tabs>
          <w:tab w:val="num" w:pos="720"/>
        </w:tabs>
        <w:ind w:left="720" w:hanging="360"/>
      </w:pPr>
      <w:rPr>
        <w:rFonts w:ascii="Wingdings" w:hAnsi="Wingdings" w:hint="default"/>
      </w:rPr>
    </w:lvl>
    <w:lvl w:ilvl="1" w:tplc="7C46EE26" w:tentative="1">
      <w:start w:val="1"/>
      <w:numFmt w:val="bullet"/>
      <w:lvlText w:val=""/>
      <w:lvlJc w:val="left"/>
      <w:pPr>
        <w:tabs>
          <w:tab w:val="num" w:pos="1440"/>
        </w:tabs>
        <w:ind w:left="1440" w:hanging="360"/>
      </w:pPr>
      <w:rPr>
        <w:rFonts w:ascii="Wingdings" w:hAnsi="Wingdings" w:hint="default"/>
      </w:rPr>
    </w:lvl>
    <w:lvl w:ilvl="2" w:tplc="EB12A1A4" w:tentative="1">
      <w:start w:val="1"/>
      <w:numFmt w:val="bullet"/>
      <w:lvlText w:val=""/>
      <w:lvlJc w:val="left"/>
      <w:pPr>
        <w:tabs>
          <w:tab w:val="num" w:pos="2160"/>
        </w:tabs>
        <w:ind w:left="2160" w:hanging="360"/>
      </w:pPr>
      <w:rPr>
        <w:rFonts w:ascii="Wingdings" w:hAnsi="Wingdings" w:hint="default"/>
      </w:rPr>
    </w:lvl>
    <w:lvl w:ilvl="3" w:tplc="8FDA2118" w:tentative="1">
      <w:start w:val="1"/>
      <w:numFmt w:val="bullet"/>
      <w:lvlText w:val=""/>
      <w:lvlJc w:val="left"/>
      <w:pPr>
        <w:tabs>
          <w:tab w:val="num" w:pos="2880"/>
        </w:tabs>
        <w:ind w:left="2880" w:hanging="360"/>
      </w:pPr>
      <w:rPr>
        <w:rFonts w:ascii="Wingdings" w:hAnsi="Wingdings" w:hint="default"/>
      </w:rPr>
    </w:lvl>
    <w:lvl w:ilvl="4" w:tplc="DC2AD3DC" w:tentative="1">
      <w:start w:val="1"/>
      <w:numFmt w:val="bullet"/>
      <w:lvlText w:val=""/>
      <w:lvlJc w:val="left"/>
      <w:pPr>
        <w:tabs>
          <w:tab w:val="num" w:pos="3600"/>
        </w:tabs>
        <w:ind w:left="3600" w:hanging="360"/>
      </w:pPr>
      <w:rPr>
        <w:rFonts w:ascii="Wingdings" w:hAnsi="Wingdings" w:hint="default"/>
      </w:rPr>
    </w:lvl>
    <w:lvl w:ilvl="5" w:tplc="36D28456" w:tentative="1">
      <w:start w:val="1"/>
      <w:numFmt w:val="bullet"/>
      <w:lvlText w:val=""/>
      <w:lvlJc w:val="left"/>
      <w:pPr>
        <w:tabs>
          <w:tab w:val="num" w:pos="4320"/>
        </w:tabs>
        <w:ind w:left="4320" w:hanging="360"/>
      </w:pPr>
      <w:rPr>
        <w:rFonts w:ascii="Wingdings" w:hAnsi="Wingdings" w:hint="default"/>
      </w:rPr>
    </w:lvl>
    <w:lvl w:ilvl="6" w:tplc="4E2AF820" w:tentative="1">
      <w:start w:val="1"/>
      <w:numFmt w:val="bullet"/>
      <w:lvlText w:val=""/>
      <w:lvlJc w:val="left"/>
      <w:pPr>
        <w:tabs>
          <w:tab w:val="num" w:pos="5040"/>
        </w:tabs>
        <w:ind w:left="5040" w:hanging="360"/>
      </w:pPr>
      <w:rPr>
        <w:rFonts w:ascii="Wingdings" w:hAnsi="Wingdings" w:hint="default"/>
      </w:rPr>
    </w:lvl>
    <w:lvl w:ilvl="7" w:tplc="901038BE" w:tentative="1">
      <w:start w:val="1"/>
      <w:numFmt w:val="bullet"/>
      <w:lvlText w:val=""/>
      <w:lvlJc w:val="left"/>
      <w:pPr>
        <w:tabs>
          <w:tab w:val="num" w:pos="5760"/>
        </w:tabs>
        <w:ind w:left="5760" w:hanging="360"/>
      </w:pPr>
      <w:rPr>
        <w:rFonts w:ascii="Wingdings" w:hAnsi="Wingdings" w:hint="default"/>
      </w:rPr>
    </w:lvl>
    <w:lvl w:ilvl="8" w:tplc="1910C5BA" w:tentative="1">
      <w:start w:val="1"/>
      <w:numFmt w:val="bullet"/>
      <w:lvlText w:val=""/>
      <w:lvlJc w:val="left"/>
      <w:pPr>
        <w:tabs>
          <w:tab w:val="num" w:pos="6480"/>
        </w:tabs>
        <w:ind w:left="6480" w:hanging="360"/>
      </w:pPr>
      <w:rPr>
        <w:rFonts w:ascii="Wingdings" w:hAnsi="Wingdings" w:hint="default"/>
      </w:rPr>
    </w:lvl>
  </w:abstractNum>
  <w:abstractNum w:abstractNumId="7">
    <w:nsid w:val="5C672A31"/>
    <w:multiLevelType w:val="hybridMultilevel"/>
    <w:tmpl w:val="E8628C60"/>
    <w:lvl w:ilvl="0" w:tplc="0F76903C">
      <w:numFmt w:val="bullet"/>
      <w:lvlText w:val=""/>
      <w:lvlJc w:val="left"/>
      <w:pPr>
        <w:ind w:left="1080" w:hanging="360"/>
      </w:pPr>
      <w:rPr>
        <w:rFonts w:ascii="Symbol" w:eastAsia="Times New Roman" w:hAnsi="Symbol"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nsid w:val="63D51EEE"/>
    <w:multiLevelType w:val="hybridMultilevel"/>
    <w:tmpl w:val="5C72E704"/>
    <w:lvl w:ilvl="0" w:tplc="A726D740">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7E4673C"/>
    <w:multiLevelType w:val="hybridMultilevel"/>
    <w:tmpl w:val="9EF476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03A3A9B"/>
    <w:multiLevelType w:val="hybridMultilevel"/>
    <w:tmpl w:val="41DCF50A"/>
    <w:lvl w:ilvl="0" w:tplc="7FD6970C">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nsid w:val="7AFC7AAD"/>
    <w:multiLevelType w:val="hybridMultilevel"/>
    <w:tmpl w:val="37621AD6"/>
    <w:lvl w:ilvl="0" w:tplc="E3109D2C">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B6D5DF3"/>
    <w:multiLevelType w:val="hybridMultilevel"/>
    <w:tmpl w:val="CA98A15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9"/>
  </w:num>
  <w:num w:numId="6">
    <w:abstractNumId w:val="7"/>
  </w:num>
  <w:num w:numId="7">
    <w:abstractNumId w:val="3"/>
  </w:num>
  <w:num w:numId="8">
    <w:abstractNumId w:val="8"/>
  </w:num>
  <w:num w:numId="9">
    <w:abstractNumId w:val="11"/>
  </w:num>
  <w:num w:numId="10">
    <w:abstractNumId w:val="12"/>
  </w:num>
  <w:num w:numId="11">
    <w:abstractNumId w:val="4"/>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8F5"/>
    <w:rsid w:val="00001115"/>
    <w:rsid w:val="00002670"/>
    <w:rsid w:val="00005C32"/>
    <w:rsid w:val="00007F45"/>
    <w:rsid w:val="00010820"/>
    <w:rsid w:val="00010A1A"/>
    <w:rsid w:val="00010FE8"/>
    <w:rsid w:val="000142D9"/>
    <w:rsid w:val="00021208"/>
    <w:rsid w:val="0002331B"/>
    <w:rsid w:val="00026264"/>
    <w:rsid w:val="00026E7F"/>
    <w:rsid w:val="00030DD1"/>
    <w:rsid w:val="00031679"/>
    <w:rsid w:val="00033305"/>
    <w:rsid w:val="00033503"/>
    <w:rsid w:val="000350C1"/>
    <w:rsid w:val="00036FE0"/>
    <w:rsid w:val="000404BB"/>
    <w:rsid w:val="00041FB9"/>
    <w:rsid w:val="00046AF8"/>
    <w:rsid w:val="00050C1A"/>
    <w:rsid w:val="00053D88"/>
    <w:rsid w:val="0005498B"/>
    <w:rsid w:val="000604FD"/>
    <w:rsid w:val="00060D1A"/>
    <w:rsid w:val="0006769B"/>
    <w:rsid w:val="000728E3"/>
    <w:rsid w:val="00073975"/>
    <w:rsid w:val="00075BF5"/>
    <w:rsid w:val="000770BD"/>
    <w:rsid w:val="0008199F"/>
    <w:rsid w:val="0008422F"/>
    <w:rsid w:val="00084970"/>
    <w:rsid w:val="00085398"/>
    <w:rsid w:val="000856AD"/>
    <w:rsid w:val="000902DA"/>
    <w:rsid w:val="00091AB6"/>
    <w:rsid w:val="00092B98"/>
    <w:rsid w:val="00093798"/>
    <w:rsid w:val="00095584"/>
    <w:rsid w:val="000959BB"/>
    <w:rsid w:val="0009685B"/>
    <w:rsid w:val="00097B8E"/>
    <w:rsid w:val="000A2C88"/>
    <w:rsid w:val="000A371F"/>
    <w:rsid w:val="000A3E0C"/>
    <w:rsid w:val="000A3FE6"/>
    <w:rsid w:val="000A40ED"/>
    <w:rsid w:val="000A438B"/>
    <w:rsid w:val="000A57D6"/>
    <w:rsid w:val="000A6020"/>
    <w:rsid w:val="000A623D"/>
    <w:rsid w:val="000A63B4"/>
    <w:rsid w:val="000B14DD"/>
    <w:rsid w:val="000B3464"/>
    <w:rsid w:val="000B66AB"/>
    <w:rsid w:val="000B6EE0"/>
    <w:rsid w:val="000C15C9"/>
    <w:rsid w:val="000C4152"/>
    <w:rsid w:val="000C536D"/>
    <w:rsid w:val="000D0E53"/>
    <w:rsid w:val="000D5B9D"/>
    <w:rsid w:val="000E04B2"/>
    <w:rsid w:val="000E1A44"/>
    <w:rsid w:val="000E2215"/>
    <w:rsid w:val="000E27B5"/>
    <w:rsid w:val="000E51E3"/>
    <w:rsid w:val="000E549E"/>
    <w:rsid w:val="000F0213"/>
    <w:rsid w:val="000F0E73"/>
    <w:rsid w:val="000F2130"/>
    <w:rsid w:val="000F3108"/>
    <w:rsid w:val="000F68C2"/>
    <w:rsid w:val="000F751B"/>
    <w:rsid w:val="000F7EB6"/>
    <w:rsid w:val="00102903"/>
    <w:rsid w:val="00103191"/>
    <w:rsid w:val="0010400A"/>
    <w:rsid w:val="00104C38"/>
    <w:rsid w:val="0010732D"/>
    <w:rsid w:val="00110105"/>
    <w:rsid w:val="00110EF8"/>
    <w:rsid w:val="001113ED"/>
    <w:rsid w:val="001245C5"/>
    <w:rsid w:val="00125896"/>
    <w:rsid w:val="00127A06"/>
    <w:rsid w:val="00133728"/>
    <w:rsid w:val="001344A6"/>
    <w:rsid w:val="00135A17"/>
    <w:rsid w:val="0014174E"/>
    <w:rsid w:val="00144743"/>
    <w:rsid w:val="0015075E"/>
    <w:rsid w:val="001513D7"/>
    <w:rsid w:val="00151ADD"/>
    <w:rsid w:val="00152F39"/>
    <w:rsid w:val="00155378"/>
    <w:rsid w:val="001565FF"/>
    <w:rsid w:val="00161E92"/>
    <w:rsid w:val="00161F39"/>
    <w:rsid w:val="00166FC2"/>
    <w:rsid w:val="00167387"/>
    <w:rsid w:val="0017045A"/>
    <w:rsid w:val="001710EA"/>
    <w:rsid w:val="001714B6"/>
    <w:rsid w:val="00172B55"/>
    <w:rsid w:val="00180A02"/>
    <w:rsid w:val="001911F2"/>
    <w:rsid w:val="00193997"/>
    <w:rsid w:val="001977B4"/>
    <w:rsid w:val="001A11A0"/>
    <w:rsid w:val="001A293E"/>
    <w:rsid w:val="001A4FEF"/>
    <w:rsid w:val="001B4045"/>
    <w:rsid w:val="001B473B"/>
    <w:rsid w:val="001B4B09"/>
    <w:rsid w:val="001C3DA5"/>
    <w:rsid w:val="001C6129"/>
    <w:rsid w:val="001C6349"/>
    <w:rsid w:val="001D2FE9"/>
    <w:rsid w:val="001E17A3"/>
    <w:rsid w:val="001E3648"/>
    <w:rsid w:val="001E5DEC"/>
    <w:rsid w:val="001E63A6"/>
    <w:rsid w:val="001E68A1"/>
    <w:rsid w:val="001F0E2A"/>
    <w:rsid w:val="001F31A2"/>
    <w:rsid w:val="001F46DA"/>
    <w:rsid w:val="001F73DE"/>
    <w:rsid w:val="00200EFE"/>
    <w:rsid w:val="00204592"/>
    <w:rsid w:val="002068F7"/>
    <w:rsid w:val="00214922"/>
    <w:rsid w:val="00216293"/>
    <w:rsid w:val="00217224"/>
    <w:rsid w:val="00220B63"/>
    <w:rsid w:val="002241D4"/>
    <w:rsid w:val="002273D7"/>
    <w:rsid w:val="0023260B"/>
    <w:rsid w:val="002375C7"/>
    <w:rsid w:val="00241E9A"/>
    <w:rsid w:val="00241F76"/>
    <w:rsid w:val="00247A2A"/>
    <w:rsid w:val="002532CF"/>
    <w:rsid w:val="002563B1"/>
    <w:rsid w:val="00256FBB"/>
    <w:rsid w:val="0025763C"/>
    <w:rsid w:val="00257A22"/>
    <w:rsid w:val="00261185"/>
    <w:rsid w:val="00262ED5"/>
    <w:rsid w:val="00263D6F"/>
    <w:rsid w:val="002713D3"/>
    <w:rsid w:val="002751FD"/>
    <w:rsid w:val="0027731C"/>
    <w:rsid w:val="00277740"/>
    <w:rsid w:val="002777EB"/>
    <w:rsid w:val="002809DC"/>
    <w:rsid w:val="00284D57"/>
    <w:rsid w:val="0028591A"/>
    <w:rsid w:val="00290E4B"/>
    <w:rsid w:val="002914F6"/>
    <w:rsid w:val="00295C62"/>
    <w:rsid w:val="00296C28"/>
    <w:rsid w:val="002A070B"/>
    <w:rsid w:val="002A1F53"/>
    <w:rsid w:val="002A7BBE"/>
    <w:rsid w:val="002B5F73"/>
    <w:rsid w:val="002B656D"/>
    <w:rsid w:val="002B7725"/>
    <w:rsid w:val="002C139E"/>
    <w:rsid w:val="002C1A52"/>
    <w:rsid w:val="002C220D"/>
    <w:rsid w:val="002C392C"/>
    <w:rsid w:val="002C3BF5"/>
    <w:rsid w:val="002C48C7"/>
    <w:rsid w:val="002C628D"/>
    <w:rsid w:val="002C7A11"/>
    <w:rsid w:val="002C7BAB"/>
    <w:rsid w:val="002D0F05"/>
    <w:rsid w:val="002D104B"/>
    <w:rsid w:val="002D251C"/>
    <w:rsid w:val="002D4E33"/>
    <w:rsid w:val="002E027E"/>
    <w:rsid w:val="002E121D"/>
    <w:rsid w:val="002E33D6"/>
    <w:rsid w:val="002E5FCD"/>
    <w:rsid w:val="002E68F5"/>
    <w:rsid w:val="002F11FD"/>
    <w:rsid w:val="002F1400"/>
    <w:rsid w:val="002F1EF7"/>
    <w:rsid w:val="002F20F6"/>
    <w:rsid w:val="002F6CCB"/>
    <w:rsid w:val="003004A3"/>
    <w:rsid w:val="00301ADC"/>
    <w:rsid w:val="00303121"/>
    <w:rsid w:val="00305AB7"/>
    <w:rsid w:val="0031317F"/>
    <w:rsid w:val="003147F5"/>
    <w:rsid w:val="00314D63"/>
    <w:rsid w:val="00316EC4"/>
    <w:rsid w:val="00317075"/>
    <w:rsid w:val="00321D3D"/>
    <w:rsid w:val="003224C9"/>
    <w:rsid w:val="00322D37"/>
    <w:rsid w:val="00325A09"/>
    <w:rsid w:val="00325E5D"/>
    <w:rsid w:val="003267A8"/>
    <w:rsid w:val="0033719F"/>
    <w:rsid w:val="00337396"/>
    <w:rsid w:val="003416A7"/>
    <w:rsid w:val="00341D17"/>
    <w:rsid w:val="00343DE5"/>
    <w:rsid w:val="003454A3"/>
    <w:rsid w:val="003473A0"/>
    <w:rsid w:val="003543F3"/>
    <w:rsid w:val="00355431"/>
    <w:rsid w:val="00356847"/>
    <w:rsid w:val="00357A49"/>
    <w:rsid w:val="0036015F"/>
    <w:rsid w:val="003610BC"/>
    <w:rsid w:val="0036582F"/>
    <w:rsid w:val="00365F2E"/>
    <w:rsid w:val="003678D5"/>
    <w:rsid w:val="00372694"/>
    <w:rsid w:val="00382F14"/>
    <w:rsid w:val="00387FDF"/>
    <w:rsid w:val="00391372"/>
    <w:rsid w:val="0039619A"/>
    <w:rsid w:val="00396FD8"/>
    <w:rsid w:val="003A4D6E"/>
    <w:rsid w:val="003A5068"/>
    <w:rsid w:val="003A5D0F"/>
    <w:rsid w:val="003A7114"/>
    <w:rsid w:val="003A7D81"/>
    <w:rsid w:val="003B100D"/>
    <w:rsid w:val="003B7309"/>
    <w:rsid w:val="003C0F2E"/>
    <w:rsid w:val="003C2DC8"/>
    <w:rsid w:val="003C5534"/>
    <w:rsid w:val="003D1A56"/>
    <w:rsid w:val="003D1BAA"/>
    <w:rsid w:val="003D2258"/>
    <w:rsid w:val="003D2859"/>
    <w:rsid w:val="003D76D4"/>
    <w:rsid w:val="003F18FD"/>
    <w:rsid w:val="003F1BB4"/>
    <w:rsid w:val="003F2AA3"/>
    <w:rsid w:val="003F530B"/>
    <w:rsid w:val="003F6F61"/>
    <w:rsid w:val="003F78FE"/>
    <w:rsid w:val="003F7B1E"/>
    <w:rsid w:val="0040057C"/>
    <w:rsid w:val="00401191"/>
    <w:rsid w:val="00401D6E"/>
    <w:rsid w:val="004070E8"/>
    <w:rsid w:val="00407B2D"/>
    <w:rsid w:val="0041051F"/>
    <w:rsid w:val="00412ECB"/>
    <w:rsid w:val="00413D24"/>
    <w:rsid w:val="004225E9"/>
    <w:rsid w:val="004235E9"/>
    <w:rsid w:val="00424B95"/>
    <w:rsid w:val="00426B70"/>
    <w:rsid w:val="004328D9"/>
    <w:rsid w:val="00435F5A"/>
    <w:rsid w:val="0043699B"/>
    <w:rsid w:val="0044043D"/>
    <w:rsid w:val="00453E00"/>
    <w:rsid w:val="004541CB"/>
    <w:rsid w:val="004545FD"/>
    <w:rsid w:val="00455EDD"/>
    <w:rsid w:val="00460C0F"/>
    <w:rsid w:val="0046100F"/>
    <w:rsid w:val="00461B3D"/>
    <w:rsid w:val="00462ED5"/>
    <w:rsid w:val="00463762"/>
    <w:rsid w:val="004642DB"/>
    <w:rsid w:val="00464906"/>
    <w:rsid w:val="00465929"/>
    <w:rsid w:val="00466FA3"/>
    <w:rsid w:val="004706E1"/>
    <w:rsid w:val="00470B5B"/>
    <w:rsid w:val="00470B7A"/>
    <w:rsid w:val="00471515"/>
    <w:rsid w:val="00474C3E"/>
    <w:rsid w:val="004807B0"/>
    <w:rsid w:val="0048089B"/>
    <w:rsid w:val="004824EE"/>
    <w:rsid w:val="004826B5"/>
    <w:rsid w:val="00487AFB"/>
    <w:rsid w:val="0049438A"/>
    <w:rsid w:val="004948FA"/>
    <w:rsid w:val="00496EE0"/>
    <w:rsid w:val="004975F5"/>
    <w:rsid w:val="004A25D1"/>
    <w:rsid w:val="004A3A2B"/>
    <w:rsid w:val="004A3A43"/>
    <w:rsid w:val="004A442B"/>
    <w:rsid w:val="004A4FED"/>
    <w:rsid w:val="004A5884"/>
    <w:rsid w:val="004B0AD1"/>
    <w:rsid w:val="004B199D"/>
    <w:rsid w:val="004B34EE"/>
    <w:rsid w:val="004C39D4"/>
    <w:rsid w:val="004C57F1"/>
    <w:rsid w:val="004C5A67"/>
    <w:rsid w:val="004D4020"/>
    <w:rsid w:val="004D751C"/>
    <w:rsid w:val="004E0DF8"/>
    <w:rsid w:val="004E6A1D"/>
    <w:rsid w:val="004E6C74"/>
    <w:rsid w:val="004E6F73"/>
    <w:rsid w:val="004F1F92"/>
    <w:rsid w:val="004F6E6A"/>
    <w:rsid w:val="004F7F1E"/>
    <w:rsid w:val="00500D4A"/>
    <w:rsid w:val="00503F84"/>
    <w:rsid w:val="005044FE"/>
    <w:rsid w:val="00510B98"/>
    <w:rsid w:val="00510F75"/>
    <w:rsid w:val="0051591A"/>
    <w:rsid w:val="00516FC7"/>
    <w:rsid w:val="00517133"/>
    <w:rsid w:val="00517365"/>
    <w:rsid w:val="00517DBD"/>
    <w:rsid w:val="00517FAC"/>
    <w:rsid w:val="00526AA4"/>
    <w:rsid w:val="00530380"/>
    <w:rsid w:val="00530A60"/>
    <w:rsid w:val="00530DF6"/>
    <w:rsid w:val="005353D1"/>
    <w:rsid w:val="00540656"/>
    <w:rsid w:val="0054186F"/>
    <w:rsid w:val="005421DB"/>
    <w:rsid w:val="00542492"/>
    <w:rsid w:val="00543299"/>
    <w:rsid w:val="00544A4A"/>
    <w:rsid w:val="00544B1A"/>
    <w:rsid w:val="005533B3"/>
    <w:rsid w:val="0055407A"/>
    <w:rsid w:val="00561C2A"/>
    <w:rsid w:val="00561E2F"/>
    <w:rsid w:val="00561E74"/>
    <w:rsid w:val="00565BFC"/>
    <w:rsid w:val="0057286F"/>
    <w:rsid w:val="005728ED"/>
    <w:rsid w:val="00573748"/>
    <w:rsid w:val="005740D5"/>
    <w:rsid w:val="00575BD5"/>
    <w:rsid w:val="00580642"/>
    <w:rsid w:val="00582B64"/>
    <w:rsid w:val="00584223"/>
    <w:rsid w:val="00585315"/>
    <w:rsid w:val="00585B8E"/>
    <w:rsid w:val="00596FC5"/>
    <w:rsid w:val="00597927"/>
    <w:rsid w:val="00597EBC"/>
    <w:rsid w:val="005A019D"/>
    <w:rsid w:val="005A0DFF"/>
    <w:rsid w:val="005A7CED"/>
    <w:rsid w:val="005A7D6F"/>
    <w:rsid w:val="005B479B"/>
    <w:rsid w:val="005B48EE"/>
    <w:rsid w:val="005B7565"/>
    <w:rsid w:val="005C1198"/>
    <w:rsid w:val="005C18B4"/>
    <w:rsid w:val="005C2D03"/>
    <w:rsid w:val="005C7D58"/>
    <w:rsid w:val="005D5287"/>
    <w:rsid w:val="005D704B"/>
    <w:rsid w:val="005E144B"/>
    <w:rsid w:val="005E2B72"/>
    <w:rsid w:val="005E3931"/>
    <w:rsid w:val="005E6068"/>
    <w:rsid w:val="005F0849"/>
    <w:rsid w:val="005F2868"/>
    <w:rsid w:val="005F6B61"/>
    <w:rsid w:val="005F7720"/>
    <w:rsid w:val="005F7A3F"/>
    <w:rsid w:val="00600E64"/>
    <w:rsid w:val="006010EB"/>
    <w:rsid w:val="00601E95"/>
    <w:rsid w:val="00603894"/>
    <w:rsid w:val="0060733F"/>
    <w:rsid w:val="006077D7"/>
    <w:rsid w:val="00612CAB"/>
    <w:rsid w:val="00614965"/>
    <w:rsid w:val="00614B11"/>
    <w:rsid w:val="00620CA4"/>
    <w:rsid w:val="00621A49"/>
    <w:rsid w:val="00621ADE"/>
    <w:rsid w:val="00625CF0"/>
    <w:rsid w:val="00626174"/>
    <w:rsid w:val="00636B2C"/>
    <w:rsid w:val="00637EF1"/>
    <w:rsid w:val="00640358"/>
    <w:rsid w:val="00643FDB"/>
    <w:rsid w:val="00644B34"/>
    <w:rsid w:val="00644CBF"/>
    <w:rsid w:val="00645848"/>
    <w:rsid w:val="0065327B"/>
    <w:rsid w:val="00653B10"/>
    <w:rsid w:val="00655C97"/>
    <w:rsid w:val="00661067"/>
    <w:rsid w:val="006611AF"/>
    <w:rsid w:val="00663084"/>
    <w:rsid w:val="00663C85"/>
    <w:rsid w:val="006647A6"/>
    <w:rsid w:val="00665CC5"/>
    <w:rsid w:val="0067142F"/>
    <w:rsid w:val="00672B21"/>
    <w:rsid w:val="00672BC9"/>
    <w:rsid w:val="00673336"/>
    <w:rsid w:val="00674B61"/>
    <w:rsid w:val="00683494"/>
    <w:rsid w:val="0068566A"/>
    <w:rsid w:val="006869F3"/>
    <w:rsid w:val="00686C67"/>
    <w:rsid w:val="0068744E"/>
    <w:rsid w:val="00690191"/>
    <w:rsid w:val="006914FB"/>
    <w:rsid w:val="00694333"/>
    <w:rsid w:val="00695AAC"/>
    <w:rsid w:val="00695D3D"/>
    <w:rsid w:val="006A4237"/>
    <w:rsid w:val="006A7D75"/>
    <w:rsid w:val="006B2C19"/>
    <w:rsid w:val="006B63CA"/>
    <w:rsid w:val="006B6C56"/>
    <w:rsid w:val="006B6EC2"/>
    <w:rsid w:val="006C3194"/>
    <w:rsid w:val="006C3C87"/>
    <w:rsid w:val="006C725A"/>
    <w:rsid w:val="006D2867"/>
    <w:rsid w:val="006D4E38"/>
    <w:rsid w:val="006D56C2"/>
    <w:rsid w:val="006D7BCB"/>
    <w:rsid w:val="006E0D0F"/>
    <w:rsid w:val="006E2342"/>
    <w:rsid w:val="006E7A49"/>
    <w:rsid w:val="006F0A71"/>
    <w:rsid w:val="006F1A13"/>
    <w:rsid w:val="006F2F88"/>
    <w:rsid w:val="006F5EDA"/>
    <w:rsid w:val="006F6C1F"/>
    <w:rsid w:val="00700398"/>
    <w:rsid w:val="00703988"/>
    <w:rsid w:val="00703C9F"/>
    <w:rsid w:val="007047B7"/>
    <w:rsid w:val="00711C5A"/>
    <w:rsid w:val="00715A77"/>
    <w:rsid w:val="00716246"/>
    <w:rsid w:val="00722DEB"/>
    <w:rsid w:val="00724F9D"/>
    <w:rsid w:val="00730CF2"/>
    <w:rsid w:val="0073119C"/>
    <w:rsid w:val="007344F3"/>
    <w:rsid w:val="00737CE6"/>
    <w:rsid w:val="00740E88"/>
    <w:rsid w:val="007461AE"/>
    <w:rsid w:val="00746420"/>
    <w:rsid w:val="00746E2F"/>
    <w:rsid w:val="00746E66"/>
    <w:rsid w:val="0075523E"/>
    <w:rsid w:val="00756F8E"/>
    <w:rsid w:val="007610E2"/>
    <w:rsid w:val="00761388"/>
    <w:rsid w:val="0076163A"/>
    <w:rsid w:val="00764FCD"/>
    <w:rsid w:val="00765C03"/>
    <w:rsid w:val="00765CAE"/>
    <w:rsid w:val="00770D59"/>
    <w:rsid w:val="00774A0C"/>
    <w:rsid w:val="00783CB7"/>
    <w:rsid w:val="007847DC"/>
    <w:rsid w:val="0079458E"/>
    <w:rsid w:val="00797023"/>
    <w:rsid w:val="00797088"/>
    <w:rsid w:val="007A0B3B"/>
    <w:rsid w:val="007A272B"/>
    <w:rsid w:val="007A35D3"/>
    <w:rsid w:val="007A58F9"/>
    <w:rsid w:val="007A5F44"/>
    <w:rsid w:val="007A6E8D"/>
    <w:rsid w:val="007B0521"/>
    <w:rsid w:val="007B14F8"/>
    <w:rsid w:val="007B251D"/>
    <w:rsid w:val="007B6243"/>
    <w:rsid w:val="007B69DF"/>
    <w:rsid w:val="007C0774"/>
    <w:rsid w:val="007C2656"/>
    <w:rsid w:val="007C3874"/>
    <w:rsid w:val="007C42D2"/>
    <w:rsid w:val="007C7BE3"/>
    <w:rsid w:val="007D1548"/>
    <w:rsid w:val="007D4B58"/>
    <w:rsid w:val="007D62E0"/>
    <w:rsid w:val="007E05B3"/>
    <w:rsid w:val="007E26A1"/>
    <w:rsid w:val="007E73CA"/>
    <w:rsid w:val="007F03D8"/>
    <w:rsid w:val="007F28FE"/>
    <w:rsid w:val="007F3678"/>
    <w:rsid w:val="007F449A"/>
    <w:rsid w:val="007F6F64"/>
    <w:rsid w:val="00800100"/>
    <w:rsid w:val="00803857"/>
    <w:rsid w:val="0080624B"/>
    <w:rsid w:val="008114D4"/>
    <w:rsid w:val="00811553"/>
    <w:rsid w:val="008137D5"/>
    <w:rsid w:val="008150E8"/>
    <w:rsid w:val="00820A2C"/>
    <w:rsid w:val="00822946"/>
    <w:rsid w:val="00822B86"/>
    <w:rsid w:val="00824E25"/>
    <w:rsid w:val="008250BA"/>
    <w:rsid w:val="0082587B"/>
    <w:rsid w:val="00827C7C"/>
    <w:rsid w:val="00834279"/>
    <w:rsid w:val="00834BDF"/>
    <w:rsid w:val="00834DD1"/>
    <w:rsid w:val="00841F48"/>
    <w:rsid w:val="008456A8"/>
    <w:rsid w:val="00845EC3"/>
    <w:rsid w:val="00846173"/>
    <w:rsid w:val="00846ED7"/>
    <w:rsid w:val="00850B99"/>
    <w:rsid w:val="00853B2D"/>
    <w:rsid w:val="00855702"/>
    <w:rsid w:val="00860E72"/>
    <w:rsid w:val="0087142A"/>
    <w:rsid w:val="008723FC"/>
    <w:rsid w:val="00874800"/>
    <w:rsid w:val="00874AD5"/>
    <w:rsid w:val="00875B04"/>
    <w:rsid w:val="00876B99"/>
    <w:rsid w:val="008846DD"/>
    <w:rsid w:val="00886E98"/>
    <w:rsid w:val="00893861"/>
    <w:rsid w:val="00894092"/>
    <w:rsid w:val="00895419"/>
    <w:rsid w:val="00896E2C"/>
    <w:rsid w:val="008A0CEC"/>
    <w:rsid w:val="008A142A"/>
    <w:rsid w:val="008A25D9"/>
    <w:rsid w:val="008A37C1"/>
    <w:rsid w:val="008A3ABB"/>
    <w:rsid w:val="008A419C"/>
    <w:rsid w:val="008A467D"/>
    <w:rsid w:val="008A52CF"/>
    <w:rsid w:val="008B145C"/>
    <w:rsid w:val="008B5BC1"/>
    <w:rsid w:val="008C05A7"/>
    <w:rsid w:val="008C1DB0"/>
    <w:rsid w:val="008D1D2B"/>
    <w:rsid w:val="008D52EE"/>
    <w:rsid w:val="008E1E63"/>
    <w:rsid w:val="008E4247"/>
    <w:rsid w:val="008E5303"/>
    <w:rsid w:val="008F0A3C"/>
    <w:rsid w:val="008F3E62"/>
    <w:rsid w:val="008F5807"/>
    <w:rsid w:val="008F671D"/>
    <w:rsid w:val="008F6B20"/>
    <w:rsid w:val="008F730A"/>
    <w:rsid w:val="008F76CB"/>
    <w:rsid w:val="008F7855"/>
    <w:rsid w:val="00902019"/>
    <w:rsid w:val="009054F3"/>
    <w:rsid w:val="00905991"/>
    <w:rsid w:val="00905F72"/>
    <w:rsid w:val="00911574"/>
    <w:rsid w:val="00912059"/>
    <w:rsid w:val="009123D7"/>
    <w:rsid w:val="009124A4"/>
    <w:rsid w:val="00912D31"/>
    <w:rsid w:val="00917333"/>
    <w:rsid w:val="00917A2C"/>
    <w:rsid w:val="009253CD"/>
    <w:rsid w:val="009257C9"/>
    <w:rsid w:val="00926FB8"/>
    <w:rsid w:val="00927C56"/>
    <w:rsid w:val="00931EB9"/>
    <w:rsid w:val="00932F01"/>
    <w:rsid w:val="00942F75"/>
    <w:rsid w:val="00943E8C"/>
    <w:rsid w:val="00944B5C"/>
    <w:rsid w:val="00946540"/>
    <w:rsid w:val="0095006A"/>
    <w:rsid w:val="00952EEE"/>
    <w:rsid w:val="00954338"/>
    <w:rsid w:val="00954656"/>
    <w:rsid w:val="0095559D"/>
    <w:rsid w:val="00961DC1"/>
    <w:rsid w:val="009677A7"/>
    <w:rsid w:val="009731CF"/>
    <w:rsid w:val="00974331"/>
    <w:rsid w:val="00974A6A"/>
    <w:rsid w:val="00975403"/>
    <w:rsid w:val="009769B9"/>
    <w:rsid w:val="009809A5"/>
    <w:rsid w:val="00981B4F"/>
    <w:rsid w:val="00983617"/>
    <w:rsid w:val="00991057"/>
    <w:rsid w:val="0099185D"/>
    <w:rsid w:val="00994C85"/>
    <w:rsid w:val="00996CBD"/>
    <w:rsid w:val="009A0C1F"/>
    <w:rsid w:val="009A44E6"/>
    <w:rsid w:val="009A5B1D"/>
    <w:rsid w:val="009B299E"/>
    <w:rsid w:val="009B2BE6"/>
    <w:rsid w:val="009C32A5"/>
    <w:rsid w:val="009D1370"/>
    <w:rsid w:val="009D2073"/>
    <w:rsid w:val="009D512A"/>
    <w:rsid w:val="009D568E"/>
    <w:rsid w:val="009E0971"/>
    <w:rsid w:val="009E3901"/>
    <w:rsid w:val="009E54BA"/>
    <w:rsid w:val="009E69CB"/>
    <w:rsid w:val="009E7192"/>
    <w:rsid w:val="009F154A"/>
    <w:rsid w:val="009F21B9"/>
    <w:rsid w:val="009F4A07"/>
    <w:rsid w:val="009F580B"/>
    <w:rsid w:val="009F5D4A"/>
    <w:rsid w:val="00A02433"/>
    <w:rsid w:val="00A0674B"/>
    <w:rsid w:val="00A15606"/>
    <w:rsid w:val="00A15A1C"/>
    <w:rsid w:val="00A17602"/>
    <w:rsid w:val="00A30B38"/>
    <w:rsid w:val="00A32E93"/>
    <w:rsid w:val="00A37FEE"/>
    <w:rsid w:val="00A41AB7"/>
    <w:rsid w:val="00A42793"/>
    <w:rsid w:val="00A44FA5"/>
    <w:rsid w:val="00A45411"/>
    <w:rsid w:val="00A45EB4"/>
    <w:rsid w:val="00A53620"/>
    <w:rsid w:val="00A57A23"/>
    <w:rsid w:val="00A6669C"/>
    <w:rsid w:val="00A72291"/>
    <w:rsid w:val="00A7601C"/>
    <w:rsid w:val="00A77066"/>
    <w:rsid w:val="00A8237C"/>
    <w:rsid w:val="00A8606F"/>
    <w:rsid w:val="00A876E2"/>
    <w:rsid w:val="00A9018F"/>
    <w:rsid w:val="00A92FCE"/>
    <w:rsid w:val="00A93551"/>
    <w:rsid w:val="00AA1AA2"/>
    <w:rsid w:val="00AA309B"/>
    <w:rsid w:val="00AA31E7"/>
    <w:rsid w:val="00AA3454"/>
    <w:rsid w:val="00AA3E33"/>
    <w:rsid w:val="00AA59FA"/>
    <w:rsid w:val="00AB0E17"/>
    <w:rsid w:val="00AB1851"/>
    <w:rsid w:val="00AB2CBF"/>
    <w:rsid w:val="00AB3358"/>
    <w:rsid w:val="00AB46CD"/>
    <w:rsid w:val="00AB5300"/>
    <w:rsid w:val="00AC181C"/>
    <w:rsid w:val="00AC1B02"/>
    <w:rsid w:val="00AC4F67"/>
    <w:rsid w:val="00AC55AB"/>
    <w:rsid w:val="00AC69A6"/>
    <w:rsid w:val="00AD1AAA"/>
    <w:rsid w:val="00AD3052"/>
    <w:rsid w:val="00AD41FD"/>
    <w:rsid w:val="00AD6D4A"/>
    <w:rsid w:val="00AD77C1"/>
    <w:rsid w:val="00AE2A7A"/>
    <w:rsid w:val="00AE6A41"/>
    <w:rsid w:val="00AF39FC"/>
    <w:rsid w:val="00AF5BDF"/>
    <w:rsid w:val="00B04F6F"/>
    <w:rsid w:val="00B05485"/>
    <w:rsid w:val="00B074EF"/>
    <w:rsid w:val="00B10C4D"/>
    <w:rsid w:val="00B11165"/>
    <w:rsid w:val="00B12985"/>
    <w:rsid w:val="00B13E15"/>
    <w:rsid w:val="00B14EB6"/>
    <w:rsid w:val="00B150F0"/>
    <w:rsid w:val="00B153D1"/>
    <w:rsid w:val="00B15A1E"/>
    <w:rsid w:val="00B16342"/>
    <w:rsid w:val="00B17680"/>
    <w:rsid w:val="00B220AE"/>
    <w:rsid w:val="00B22771"/>
    <w:rsid w:val="00B263A1"/>
    <w:rsid w:val="00B27A04"/>
    <w:rsid w:val="00B31D21"/>
    <w:rsid w:val="00B33900"/>
    <w:rsid w:val="00B34B16"/>
    <w:rsid w:val="00B34EFB"/>
    <w:rsid w:val="00B354B9"/>
    <w:rsid w:val="00B37CA4"/>
    <w:rsid w:val="00B44A14"/>
    <w:rsid w:val="00B5085A"/>
    <w:rsid w:val="00B516B6"/>
    <w:rsid w:val="00B555F1"/>
    <w:rsid w:val="00B55CA2"/>
    <w:rsid w:val="00B56EE5"/>
    <w:rsid w:val="00B66D9D"/>
    <w:rsid w:val="00B72283"/>
    <w:rsid w:val="00B733E6"/>
    <w:rsid w:val="00B76B5A"/>
    <w:rsid w:val="00B770B2"/>
    <w:rsid w:val="00B803C5"/>
    <w:rsid w:val="00B81643"/>
    <w:rsid w:val="00B86F7E"/>
    <w:rsid w:val="00B875CC"/>
    <w:rsid w:val="00B93989"/>
    <w:rsid w:val="00B9456F"/>
    <w:rsid w:val="00B946EA"/>
    <w:rsid w:val="00B95A26"/>
    <w:rsid w:val="00B95FB0"/>
    <w:rsid w:val="00B960FE"/>
    <w:rsid w:val="00B9783A"/>
    <w:rsid w:val="00B9790D"/>
    <w:rsid w:val="00B97DBF"/>
    <w:rsid w:val="00BA2BE4"/>
    <w:rsid w:val="00BA496F"/>
    <w:rsid w:val="00BB6BB1"/>
    <w:rsid w:val="00BB7B06"/>
    <w:rsid w:val="00BC02F9"/>
    <w:rsid w:val="00BC4E08"/>
    <w:rsid w:val="00BC5F1D"/>
    <w:rsid w:val="00BC61B9"/>
    <w:rsid w:val="00BE0B3E"/>
    <w:rsid w:val="00BE343D"/>
    <w:rsid w:val="00BE6A68"/>
    <w:rsid w:val="00BE7070"/>
    <w:rsid w:val="00BF2909"/>
    <w:rsid w:val="00C0231D"/>
    <w:rsid w:val="00C0248E"/>
    <w:rsid w:val="00C05230"/>
    <w:rsid w:val="00C0688F"/>
    <w:rsid w:val="00C21B00"/>
    <w:rsid w:val="00C21C26"/>
    <w:rsid w:val="00C23233"/>
    <w:rsid w:val="00C2479F"/>
    <w:rsid w:val="00C2556F"/>
    <w:rsid w:val="00C30689"/>
    <w:rsid w:val="00C3347E"/>
    <w:rsid w:val="00C42534"/>
    <w:rsid w:val="00C4597D"/>
    <w:rsid w:val="00C51069"/>
    <w:rsid w:val="00C525B2"/>
    <w:rsid w:val="00C52E4A"/>
    <w:rsid w:val="00C53364"/>
    <w:rsid w:val="00C60C6F"/>
    <w:rsid w:val="00C61B9B"/>
    <w:rsid w:val="00C63929"/>
    <w:rsid w:val="00C65B3A"/>
    <w:rsid w:val="00C66BAF"/>
    <w:rsid w:val="00C67337"/>
    <w:rsid w:val="00C72C4E"/>
    <w:rsid w:val="00C75A17"/>
    <w:rsid w:val="00C762DD"/>
    <w:rsid w:val="00C7782C"/>
    <w:rsid w:val="00C77AF9"/>
    <w:rsid w:val="00C819F6"/>
    <w:rsid w:val="00C8221B"/>
    <w:rsid w:val="00C833E3"/>
    <w:rsid w:val="00C85AC1"/>
    <w:rsid w:val="00C910E9"/>
    <w:rsid w:val="00C91DC0"/>
    <w:rsid w:val="00C91F60"/>
    <w:rsid w:val="00CA02D4"/>
    <w:rsid w:val="00CA2DD7"/>
    <w:rsid w:val="00CA7D9D"/>
    <w:rsid w:val="00CB0E51"/>
    <w:rsid w:val="00CB1CC9"/>
    <w:rsid w:val="00CB3560"/>
    <w:rsid w:val="00CB3737"/>
    <w:rsid w:val="00CB48B3"/>
    <w:rsid w:val="00CB69BE"/>
    <w:rsid w:val="00CC6C09"/>
    <w:rsid w:val="00CD1777"/>
    <w:rsid w:val="00CD30B2"/>
    <w:rsid w:val="00CD4FE0"/>
    <w:rsid w:val="00CD53F2"/>
    <w:rsid w:val="00CD550B"/>
    <w:rsid w:val="00CD6CD5"/>
    <w:rsid w:val="00CE0AB6"/>
    <w:rsid w:val="00CE1106"/>
    <w:rsid w:val="00CE1D48"/>
    <w:rsid w:val="00CE20FF"/>
    <w:rsid w:val="00CE3526"/>
    <w:rsid w:val="00CE5C5A"/>
    <w:rsid w:val="00CE7EB9"/>
    <w:rsid w:val="00CF03AA"/>
    <w:rsid w:val="00CF5F7E"/>
    <w:rsid w:val="00D00B28"/>
    <w:rsid w:val="00D01DEC"/>
    <w:rsid w:val="00D03D16"/>
    <w:rsid w:val="00D077DC"/>
    <w:rsid w:val="00D105B8"/>
    <w:rsid w:val="00D10ACF"/>
    <w:rsid w:val="00D12CC3"/>
    <w:rsid w:val="00D14610"/>
    <w:rsid w:val="00D1624B"/>
    <w:rsid w:val="00D20495"/>
    <w:rsid w:val="00D20A5B"/>
    <w:rsid w:val="00D22776"/>
    <w:rsid w:val="00D240E3"/>
    <w:rsid w:val="00D253F0"/>
    <w:rsid w:val="00D266B5"/>
    <w:rsid w:val="00D2771C"/>
    <w:rsid w:val="00D327BA"/>
    <w:rsid w:val="00D37C2D"/>
    <w:rsid w:val="00D40452"/>
    <w:rsid w:val="00D43C57"/>
    <w:rsid w:val="00D44A83"/>
    <w:rsid w:val="00D45DD7"/>
    <w:rsid w:val="00D46468"/>
    <w:rsid w:val="00D46D75"/>
    <w:rsid w:val="00D4751A"/>
    <w:rsid w:val="00D5154E"/>
    <w:rsid w:val="00D51F8D"/>
    <w:rsid w:val="00D5360E"/>
    <w:rsid w:val="00D64955"/>
    <w:rsid w:val="00D67A56"/>
    <w:rsid w:val="00D70324"/>
    <w:rsid w:val="00D7467A"/>
    <w:rsid w:val="00D82328"/>
    <w:rsid w:val="00D83C8B"/>
    <w:rsid w:val="00D8400C"/>
    <w:rsid w:val="00D86580"/>
    <w:rsid w:val="00D87E3E"/>
    <w:rsid w:val="00D934BA"/>
    <w:rsid w:val="00D95227"/>
    <w:rsid w:val="00D95F55"/>
    <w:rsid w:val="00D96142"/>
    <w:rsid w:val="00D962F9"/>
    <w:rsid w:val="00D97413"/>
    <w:rsid w:val="00DA0F7A"/>
    <w:rsid w:val="00DA1582"/>
    <w:rsid w:val="00DA3EFC"/>
    <w:rsid w:val="00DA5C15"/>
    <w:rsid w:val="00DA6064"/>
    <w:rsid w:val="00DA6936"/>
    <w:rsid w:val="00DB03A7"/>
    <w:rsid w:val="00DB0697"/>
    <w:rsid w:val="00DB1873"/>
    <w:rsid w:val="00DB28A4"/>
    <w:rsid w:val="00DB71C8"/>
    <w:rsid w:val="00DC52A8"/>
    <w:rsid w:val="00DC5C37"/>
    <w:rsid w:val="00DD124E"/>
    <w:rsid w:val="00DD31F9"/>
    <w:rsid w:val="00DD38A7"/>
    <w:rsid w:val="00DD7198"/>
    <w:rsid w:val="00DD7ECD"/>
    <w:rsid w:val="00DE0379"/>
    <w:rsid w:val="00DE116E"/>
    <w:rsid w:val="00DE26DF"/>
    <w:rsid w:val="00DE5C04"/>
    <w:rsid w:val="00DE7AF7"/>
    <w:rsid w:val="00DF224F"/>
    <w:rsid w:val="00DF225D"/>
    <w:rsid w:val="00DF44F8"/>
    <w:rsid w:val="00DF6170"/>
    <w:rsid w:val="00E04CEC"/>
    <w:rsid w:val="00E07A4F"/>
    <w:rsid w:val="00E1300B"/>
    <w:rsid w:val="00E17B6E"/>
    <w:rsid w:val="00E17F7F"/>
    <w:rsid w:val="00E24A53"/>
    <w:rsid w:val="00E26BC6"/>
    <w:rsid w:val="00E2701F"/>
    <w:rsid w:val="00E27299"/>
    <w:rsid w:val="00E30B1A"/>
    <w:rsid w:val="00E30D84"/>
    <w:rsid w:val="00E36222"/>
    <w:rsid w:val="00E36B43"/>
    <w:rsid w:val="00E40965"/>
    <w:rsid w:val="00E44AF4"/>
    <w:rsid w:val="00E5120E"/>
    <w:rsid w:val="00E52D9A"/>
    <w:rsid w:val="00E53ACD"/>
    <w:rsid w:val="00E64652"/>
    <w:rsid w:val="00E707C0"/>
    <w:rsid w:val="00E800BC"/>
    <w:rsid w:val="00E81513"/>
    <w:rsid w:val="00E8203C"/>
    <w:rsid w:val="00E86F4E"/>
    <w:rsid w:val="00E87107"/>
    <w:rsid w:val="00EA5355"/>
    <w:rsid w:val="00EB1290"/>
    <w:rsid w:val="00EB1C24"/>
    <w:rsid w:val="00EB3D5C"/>
    <w:rsid w:val="00EB4182"/>
    <w:rsid w:val="00EC1A3F"/>
    <w:rsid w:val="00EC7923"/>
    <w:rsid w:val="00ED1A69"/>
    <w:rsid w:val="00ED2A42"/>
    <w:rsid w:val="00EE4A12"/>
    <w:rsid w:val="00EE7F5B"/>
    <w:rsid w:val="00EF012B"/>
    <w:rsid w:val="00EF4A34"/>
    <w:rsid w:val="00EF4CF1"/>
    <w:rsid w:val="00EF6B4F"/>
    <w:rsid w:val="00F0106C"/>
    <w:rsid w:val="00F04689"/>
    <w:rsid w:val="00F04E1C"/>
    <w:rsid w:val="00F05D03"/>
    <w:rsid w:val="00F1355F"/>
    <w:rsid w:val="00F139CB"/>
    <w:rsid w:val="00F13C9D"/>
    <w:rsid w:val="00F16D4B"/>
    <w:rsid w:val="00F16DC0"/>
    <w:rsid w:val="00F20702"/>
    <w:rsid w:val="00F20AB4"/>
    <w:rsid w:val="00F31CAD"/>
    <w:rsid w:val="00F34392"/>
    <w:rsid w:val="00F35DE6"/>
    <w:rsid w:val="00F37B63"/>
    <w:rsid w:val="00F42067"/>
    <w:rsid w:val="00F4348F"/>
    <w:rsid w:val="00F444B6"/>
    <w:rsid w:val="00F476BD"/>
    <w:rsid w:val="00F47CE5"/>
    <w:rsid w:val="00F56ACF"/>
    <w:rsid w:val="00F57978"/>
    <w:rsid w:val="00F62FED"/>
    <w:rsid w:val="00F65393"/>
    <w:rsid w:val="00F654CD"/>
    <w:rsid w:val="00F70483"/>
    <w:rsid w:val="00F725DE"/>
    <w:rsid w:val="00F7453D"/>
    <w:rsid w:val="00F76F76"/>
    <w:rsid w:val="00F81661"/>
    <w:rsid w:val="00F822B9"/>
    <w:rsid w:val="00F82ADB"/>
    <w:rsid w:val="00F86C75"/>
    <w:rsid w:val="00F9057A"/>
    <w:rsid w:val="00F90A70"/>
    <w:rsid w:val="00F95C56"/>
    <w:rsid w:val="00FA0D8C"/>
    <w:rsid w:val="00FA1E9A"/>
    <w:rsid w:val="00FA2078"/>
    <w:rsid w:val="00FA54C3"/>
    <w:rsid w:val="00FA65AB"/>
    <w:rsid w:val="00FA66C1"/>
    <w:rsid w:val="00FB1B7E"/>
    <w:rsid w:val="00FB2C41"/>
    <w:rsid w:val="00FB6B92"/>
    <w:rsid w:val="00FC1E83"/>
    <w:rsid w:val="00FC281A"/>
    <w:rsid w:val="00FC3991"/>
    <w:rsid w:val="00FC6B86"/>
    <w:rsid w:val="00FD3892"/>
    <w:rsid w:val="00FD5A40"/>
    <w:rsid w:val="00FD6C62"/>
    <w:rsid w:val="00FE1435"/>
    <w:rsid w:val="00FE4200"/>
    <w:rsid w:val="00FE4C72"/>
    <w:rsid w:val="00FE634C"/>
    <w:rsid w:val="00FE6932"/>
    <w:rsid w:val="00FE74AB"/>
    <w:rsid w:val="00FE7808"/>
    <w:rsid w:val="00FF01F0"/>
    <w:rsid w:val="00FF0A27"/>
    <w:rsid w:val="00FF15CB"/>
    <w:rsid w:val="00FF6A47"/>
    <w:rsid w:val="577BF0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D410"/>
  <w15:docId w15:val="{F56FC536-C2AB-4754-BD7D-D7A9E374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E68F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D95F5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E68F5"/>
    <w:pPr>
      <w:jc w:val="both"/>
    </w:pPr>
    <w:rPr>
      <w:rFonts w:ascii="Arial" w:hAnsi="Arial" w:cs="Arial"/>
      <w:lang w:val="es-ES_tradnl"/>
    </w:rPr>
  </w:style>
  <w:style w:type="character" w:customStyle="1" w:styleId="TextoindependienteCar">
    <w:name w:val="Texto independiente Car"/>
    <w:basedOn w:val="Fuentedeprrafopredeter"/>
    <w:link w:val="Textoindependiente"/>
    <w:rsid w:val="002E68F5"/>
    <w:rPr>
      <w:rFonts w:ascii="Arial" w:eastAsia="Times New Roman" w:hAnsi="Arial" w:cs="Arial"/>
      <w:sz w:val="24"/>
      <w:szCs w:val="24"/>
      <w:lang w:val="es-ES_tradnl" w:eastAsia="es-ES"/>
    </w:rPr>
  </w:style>
  <w:style w:type="paragraph" w:styleId="NormalWeb">
    <w:name w:val="Normal (Web)"/>
    <w:basedOn w:val="Normal"/>
    <w:uiPriority w:val="99"/>
    <w:semiHidden/>
    <w:unhideWhenUsed/>
    <w:rsid w:val="000C536D"/>
    <w:pPr>
      <w:spacing w:before="100" w:beforeAutospacing="1" w:after="100" w:afterAutospacing="1"/>
    </w:pPr>
    <w:rPr>
      <w:lang w:val="es-CO" w:eastAsia="es-CO"/>
    </w:rPr>
  </w:style>
  <w:style w:type="paragraph" w:styleId="Prrafodelista">
    <w:name w:val="List Paragraph"/>
    <w:basedOn w:val="Normal"/>
    <w:uiPriority w:val="34"/>
    <w:qFormat/>
    <w:rsid w:val="000A3FE6"/>
    <w:pPr>
      <w:ind w:left="720"/>
      <w:contextualSpacing/>
    </w:pPr>
  </w:style>
  <w:style w:type="character" w:styleId="Refdecomentario">
    <w:name w:val="annotation reference"/>
    <w:basedOn w:val="Fuentedeprrafopredeter"/>
    <w:uiPriority w:val="99"/>
    <w:semiHidden/>
    <w:unhideWhenUsed/>
    <w:rsid w:val="00612CAB"/>
    <w:rPr>
      <w:sz w:val="16"/>
      <w:szCs w:val="16"/>
    </w:rPr>
  </w:style>
  <w:style w:type="paragraph" w:styleId="Textocomentario">
    <w:name w:val="annotation text"/>
    <w:basedOn w:val="Normal"/>
    <w:link w:val="TextocomentarioCar"/>
    <w:uiPriority w:val="99"/>
    <w:semiHidden/>
    <w:unhideWhenUsed/>
    <w:rsid w:val="00612CAB"/>
    <w:rPr>
      <w:sz w:val="20"/>
      <w:szCs w:val="20"/>
    </w:rPr>
  </w:style>
  <w:style w:type="character" w:customStyle="1" w:styleId="TextocomentarioCar">
    <w:name w:val="Texto comentario Car"/>
    <w:basedOn w:val="Fuentedeprrafopredeter"/>
    <w:link w:val="Textocomentario"/>
    <w:uiPriority w:val="99"/>
    <w:semiHidden/>
    <w:rsid w:val="00612CAB"/>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12CAB"/>
    <w:rPr>
      <w:b/>
      <w:bCs/>
    </w:rPr>
  </w:style>
  <w:style w:type="character" w:customStyle="1" w:styleId="AsuntodelcomentarioCar">
    <w:name w:val="Asunto del comentario Car"/>
    <w:basedOn w:val="TextocomentarioCar"/>
    <w:link w:val="Asuntodelcomentario"/>
    <w:uiPriority w:val="99"/>
    <w:semiHidden/>
    <w:rsid w:val="00612CAB"/>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612C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CAB"/>
    <w:rPr>
      <w:rFonts w:ascii="Segoe UI" w:eastAsia="Times New Roman" w:hAnsi="Segoe UI" w:cs="Segoe UI"/>
      <w:sz w:val="18"/>
      <w:szCs w:val="18"/>
      <w:lang w:val="es-ES" w:eastAsia="es-ES"/>
    </w:rPr>
  </w:style>
  <w:style w:type="character" w:styleId="Hipervnculo">
    <w:name w:val="Hyperlink"/>
    <w:basedOn w:val="Fuentedeprrafopredeter"/>
    <w:uiPriority w:val="99"/>
    <w:unhideWhenUsed/>
    <w:rsid w:val="00097B8E"/>
    <w:rPr>
      <w:color w:val="0563C1" w:themeColor="hyperlink"/>
      <w:u w:val="single"/>
    </w:rPr>
  </w:style>
  <w:style w:type="paragraph" w:styleId="Encabezado">
    <w:name w:val="header"/>
    <w:basedOn w:val="Normal"/>
    <w:link w:val="EncabezadoCar"/>
    <w:uiPriority w:val="99"/>
    <w:unhideWhenUsed/>
    <w:rsid w:val="00D95F55"/>
    <w:pPr>
      <w:tabs>
        <w:tab w:val="center" w:pos="4419"/>
        <w:tab w:val="right" w:pos="8838"/>
      </w:tabs>
    </w:pPr>
  </w:style>
  <w:style w:type="character" w:customStyle="1" w:styleId="EncabezadoCar">
    <w:name w:val="Encabezado Car"/>
    <w:basedOn w:val="Fuentedeprrafopredeter"/>
    <w:link w:val="Encabezado"/>
    <w:uiPriority w:val="99"/>
    <w:rsid w:val="00D95F5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95F55"/>
    <w:pPr>
      <w:tabs>
        <w:tab w:val="center" w:pos="4419"/>
        <w:tab w:val="right" w:pos="8838"/>
      </w:tabs>
    </w:pPr>
  </w:style>
  <w:style w:type="character" w:customStyle="1" w:styleId="PiedepginaCar">
    <w:name w:val="Pie de página Car"/>
    <w:basedOn w:val="Fuentedeprrafopredeter"/>
    <w:link w:val="Piedepgina"/>
    <w:uiPriority w:val="99"/>
    <w:rsid w:val="00D95F55"/>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D95F55"/>
    <w:rPr>
      <w:rFonts w:asciiTheme="majorHAnsi" w:eastAsiaTheme="majorEastAsia" w:hAnsiTheme="majorHAnsi" w:cstheme="majorBidi"/>
      <w:color w:val="2E74B5" w:themeColor="accent1" w:themeShade="BF"/>
      <w:sz w:val="32"/>
      <w:szCs w:val="32"/>
      <w:lang w:val="es-ES" w:eastAsia="es-ES"/>
    </w:rPr>
  </w:style>
  <w:style w:type="paragraph" w:styleId="TtulodeTDC">
    <w:name w:val="TOC Heading"/>
    <w:basedOn w:val="Ttulo1"/>
    <w:next w:val="Normal"/>
    <w:uiPriority w:val="39"/>
    <w:unhideWhenUsed/>
    <w:qFormat/>
    <w:rsid w:val="00D95F55"/>
    <w:pPr>
      <w:spacing w:line="259" w:lineRule="auto"/>
      <w:outlineLvl w:val="9"/>
    </w:pPr>
    <w:rPr>
      <w:lang w:val="es-CO" w:eastAsia="es-CO"/>
    </w:rPr>
  </w:style>
  <w:style w:type="table" w:styleId="Tablaconcuadrcula">
    <w:name w:val="Table Grid"/>
    <w:basedOn w:val="Tablanormal"/>
    <w:uiPriority w:val="39"/>
    <w:rsid w:val="000B1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unhideWhenUsed/>
    <w:rsid w:val="0009685B"/>
    <w:rPr>
      <w:sz w:val="20"/>
      <w:szCs w:val="20"/>
    </w:rPr>
  </w:style>
  <w:style w:type="character" w:customStyle="1" w:styleId="TextonotapieCar">
    <w:name w:val="Texto nota pie Car"/>
    <w:basedOn w:val="Fuentedeprrafopredeter"/>
    <w:link w:val="Textonotapie"/>
    <w:uiPriority w:val="99"/>
    <w:rsid w:val="0009685B"/>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unhideWhenUsed/>
    <w:rsid w:val="0009685B"/>
    <w:rPr>
      <w:vertAlign w:val="superscript"/>
    </w:rPr>
  </w:style>
  <w:style w:type="character" w:customStyle="1" w:styleId="apple-converted-space">
    <w:name w:val="apple-converted-space"/>
    <w:basedOn w:val="Fuentedeprrafopredeter"/>
    <w:rsid w:val="007C3874"/>
  </w:style>
  <w:style w:type="character" w:styleId="Textoennegrita">
    <w:name w:val="Strong"/>
    <w:basedOn w:val="Fuentedeprrafopredeter"/>
    <w:uiPriority w:val="22"/>
    <w:qFormat/>
    <w:rsid w:val="007C3874"/>
    <w:rPr>
      <w:b/>
      <w:bCs/>
    </w:rPr>
  </w:style>
  <w:style w:type="character" w:customStyle="1" w:styleId="allowtextselection">
    <w:name w:val="allowtextselection"/>
    <w:basedOn w:val="Fuentedeprrafopredeter"/>
    <w:rsid w:val="00975403"/>
  </w:style>
  <w:style w:type="character" w:styleId="Textodelmarcadordeposicin">
    <w:name w:val="Placeholder Text"/>
    <w:basedOn w:val="Fuentedeprrafopredeter"/>
    <w:uiPriority w:val="99"/>
    <w:semiHidden/>
    <w:rsid w:val="000C4152"/>
    <w:rPr>
      <w:color w:val="808080"/>
    </w:rPr>
  </w:style>
  <w:style w:type="paragraph" w:styleId="Bibliografa">
    <w:name w:val="Bibliography"/>
    <w:basedOn w:val="Normal"/>
    <w:next w:val="Normal"/>
    <w:uiPriority w:val="37"/>
    <w:unhideWhenUsed/>
    <w:rsid w:val="00F444B6"/>
  </w:style>
  <w:style w:type="paragraph" w:styleId="Revisin">
    <w:name w:val="Revision"/>
    <w:hidden/>
    <w:uiPriority w:val="99"/>
    <w:semiHidden/>
    <w:rsid w:val="004D751C"/>
    <w:pPr>
      <w:spacing w:after="0" w:line="240" w:lineRule="auto"/>
    </w:pPr>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A7D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18212">
      <w:bodyDiv w:val="1"/>
      <w:marLeft w:val="0"/>
      <w:marRight w:val="0"/>
      <w:marTop w:val="0"/>
      <w:marBottom w:val="0"/>
      <w:divBdr>
        <w:top w:val="none" w:sz="0" w:space="0" w:color="auto"/>
        <w:left w:val="none" w:sz="0" w:space="0" w:color="auto"/>
        <w:bottom w:val="none" w:sz="0" w:space="0" w:color="auto"/>
        <w:right w:val="none" w:sz="0" w:space="0" w:color="auto"/>
      </w:divBdr>
    </w:div>
    <w:div w:id="17200990">
      <w:bodyDiv w:val="1"/>
      <w:marLeft w:val="0"/>
      <w:marRight w:val="0"/>
      <w:marTop w:val="0"/>
      <w:marBottom w:val="0"/>
      <w:divBdr>
        <w:top w:val="none" w:sz="0" w:space="0" w:color="auto"/>
        <w:left w:val="none" w:sz="0" w:space="0" w:color="auto"/>
        <w:bottom w:val="none" w:sz="0" w:space="0" w:color="auto"/>
        <w:right w:val="none" w:sz="0" w:space="0" w:color="auto"/>
      </w:divBdr>
    </w:div>
    <w:div w:id="19162684">
      <w:bodyDiv w:val="1"/>
      <w:marLeft w:val="0"/>
      <w:marRight w:val="0"/>
      <w:marTop w:val="0"/>
      <w:marBottom w:val="0"/>
      <w:divBdr>
        <w:top w:val="none" w:sz="0" w:space="0" w:color="auto"/>
        <w:left w:val="none" w:sz="0" w:space="0" w:color="auto"/>
        <w:bottom w:val="none" w:sz="0" w:space="0" w:color="auto"/>
        <w:right w:val="none" w:sz="0" w:space="0" w:color="auto"/>
      </w:divBdr>
    </w:div>
    <w:div w:id="27267270">
      <w:bodyDiv w:val="1"/>
      <w:marLeft w:val="0"/>
      <w:marRight w:val="0"/>
      <w:marTop w:val="0"/>
      <w:marBottom w:val="0"/>
      <w:divBdr>
        <w:top w:val="none" w:sz="0" w:space="0" w:color="auto"/>
        <w:left w:val="none" w:sz="0" w:space="0" w:color="auto"/>
        <w:bottom w:val="none" w:sz="0" w:space="0" w:color="auto"/>
        <w:right w:val="none" w:sz="0" w:space="0" w:color="auto"/>
      </w:divBdr>
    </w:div>
    <w:div w:id="43258349">
      <w:bodyDiv w:val="1"/>
      <w:marLeft w:val="0"/>
      <w:marRight w:val="0"/>
      <w:marTop w:val="0"/>
      <w:marBottom w:val="0"/>
      <w:divBdr>
        <w:top w:val="none" w:sz="0" w:space="0" w:color="auto"/>
        <w:left w:val="none" w:sz="0" w:space="0" w:color="auto"/>
        <w:bottom w:val="none" w:sz="0" w:space="0" w:color="auto"/>
        <w:right w:val="none" w:sz="0" w:space="0" w:color="auto"/>
      </w:divBdr>
    </w:div>
    <w:div w:id="45809681">
      <w:bodyDiv w:val="1"/>
      <w:marLeft w:val="0"/>
      <w:marRight w:val="0"/>
      <w:marTop w:val="0"/>
      <w:marBottom w:val="0"/>
      <w:divBdr>
        <w:top w:val="none" w:sz="0" w:space="0" w:color="auto"/>
        <w:left w:val="none" w:sz="0" w:space="0" w:color="auto"/>
        <w:bottom w:val="none" w:sz="0" w:space="0" w:color="auto"/>
        <w:right w:val="none" w:sz="0" w:space="0" w:color="auto"/>
      </w:divBdr>
    </w:div>
    <w:div w:id="52386426">
      <w:bodyDiv w:val="1"/>
      <w:marLeft w:val="0"/>
      <w:marRight w:val="0"/>
      <w:marTop w:val="0"/>
      <w:marBottom w:val="0"/>
      <w:divBdr>
        <w:top w:val="none" w:sz="0" w:space="0" w:color="auto"/>
        <w:left w:val="none" w:sz="0" w:space="0" w:color="auto"/>
        <w:bottom w:val="none" w:sz="0" w:space="0" w:color="auto"/>
        <w:right w:val="none" w:sz="0" w:space="0" w:color="auto"/>
      </w:divBdr>
    </w:div>
    <w:div w:id="64888089">
      <w:bodyDiv w:val="1"/>
      <w:marLeft w:val="0"/>
      <w:marRight w:val="0"/>
      <w:marTop w:val="0"/>
      <w:marBottom w:val="0"/>
      <w:divBdr>
        <w:top w:val="none" w:sz="0" w:space="0" w:color="auto"/>
        <w:left w:val="none" w:sz="0" w:space="0" w:color="auto"/>
        <w:bottom w:val="none" w:sz="0" w:space="0" w:color="auto"/>
        <w:right w:val="none" w:sz="0" w:space="0" w:color="auto"/>
      </w:divBdr>
    </w:div>
    <w:div w:id="71197755">
      <w:bodyDiv w:val="1"/>
      <w:marLeft w:val="0"/>
      <w:marRight w:val="0"/>
      <w:marTop w:val="0"/>
      <w:marBottom w:val="0"/>
      <w:divBdr>
        <w:top w:val="none" w:sz="0" w:space="0" w:color="auto"/>
        <w:left w:val="none" w:sz="0" w:space="0" w:color="auto"/>
        <w:bottom w:val="none" w:sz="0" w:space="0" w:color="auto"/>
        <w:right w:val="none" w:sz="0" w:space="0" w:color="auto"/>
      </w:divBdr>
    </w:div>
    <w:div w:id="74717041">
      <w:bodyDiv w:val="1"/>
      <w:marLeft w:val="0"/>
      <w:marRight w:val="0"/>
      <w:marTop w:val="0"/>
      <w:marBottom w:val="0"/>
      <w:divBdr>
        <w:top w:val="none" w:sz="0" w:space="0" w:color="auto"/>
        <w:left w:val="none" w:sz="0" w:space="0" w:color="auto"/>
        <w:bottom w:val="none" w:sz="0" w:space="0" w:color="auto"/>
        <w:right w:val="none" w:sz="0" w:space="0" w:color="auto"/>
      </w:divBdr>
    </w:div>
    <w:div w:id="93795131">
      <w:bodyDiv w:val="1"/>
      <w:marLeft w:val="0"/>
      <w:marRight w:val="0"/>
      <w:marTop w:val="0"/>
      <w:marBottom w:val="0"/>
      <w:divBdr>
        <w:top w:val="none" w:sz="0" w:space="0" w:color="auto"/>
        <w:left w:val="none" w:sz="0" w:space="0" w:color="auto"/>
        <w:bottom w:val="none" w:sz="0" w:space="0" w:color="auto"/>
        <w:right w:val="none" w:sz="0" w:space="0" w:color="auto"/>
      </w:divBdr>
    </w:div>
    <w:div w:id="105589370">
      <w:bodyDiv w:val="1"/>
      <w:marLeft w:val="0"/>
      <w:marRight w:val="0"/>
      <w:marTop w:val="0"/>
      <w:marBottom w:val="0"/>
      <w:divBdr>
        <w:top w:val="none" w:sz="0" w:space="0" w:color="auto"/>
        <w:left w:val="none" w:sz="0" w:space="0" w:color="auto"/>
        <w:bottom w:val="none" w:sz="0" w:space="0" w:color="auto"/>
        <w:right w:val="none" w:sz="0" w:space="0" w:color="auto"/>
      </w:divBdr>
    </w:div>
    <w:div w:id="135727362">
      <w:bodyDiv w:val="1"/>
      <w:marLeft w:val="0"/>
      <w:marRight w:val="0"/>
      <w:marTop w:val="0"/>
      <w:marBottom w:val="0"/>
      <w:divBdr>
        <w:top w:val="none" w:sz="0" w:space="0" w:color="auto"/>
        <w:left w:val="none" w:sz="0" w:space="0" w:color="auto"/>
        <w:bottom w:val="none" w:sz="0" w:space="0" w:color="auto"/>
        <w:right w:val="none" w:sz="0" w:space="0" w:color="auto"/>
      </w:divBdr>
    </w:div>
    <w:div w:id="143351700">
      <w:bodyDiv w:val="1"/>
      <w:marLeft w:val="0"/>
      <w:marRight w:val="0"/>
      <w:marTop w:val="0"/>
      <w:marBottom w:val="0"/>
      <w:divBdr>
        <w:top w:val="none" w:sz="0" w:space="0" w:color="auto"/>
        <w:left w:val="none" w:sz="0" w:space="0" w:color="auto"/>
        <w:bottom w:val="none" w:sz="0" w:space="0" w:color="auto"/>
        <w:right w:val="none" w:sz="0" w:space="0" w:color="auto"/>
      </w:divBdr>
    </w:div>
    <w:div w:id="212008997">
      <w:bodyDiv w:val="1"/>
      <w:marLeft w:val="0"/>
      <w:marRight w:val="0"/>
      <w:marTop w:val="0"/>
      <w:marBottom w:val="0"/>
      <w:divBdr>
        <w:top w:val="none" w:sz="0" w:space="0" w:color="auto"/>
        <w:left w:val="none" w:sz="0" w:space="0" w:color="auto"/>
        <w:bottom w:val="none" w:sz="0" w:space="0" w:color="auto"/>
        <w:right w:val="none" w:sz="0" w:space="0" w:color="auto"/>
      </w:divBdr>
    </w:div>
    <w:div w:id="227690066">
      <w:bodyDiv w:val="1"/>
      <w:marLeft w:val="0"/>
      <w:marRight w:val="0"/>
      <w:marTop w:val="0"/>
      <w:marBottom w:val="0"/>
      <w:divBdr>
        <w:top w:val="none" w:sz="0" w:space="0" w:color="auto"/>
        <w:left w:val="none" w:sz="0" w:space="0" w:color="auto"/>
        <w:bottom w:val="none" w:sz="0" w:space="0" w:color="auto"/>
        <w:right w:val="none" w:sz="0" w:space="0" w:color="auto"/>
      </w:divBdr>
    </w:div>
    <w:div w:id="243490611">
      <w:bodyDiv w:val="1"/>
      <w:marLeft w:val="0"/>
      <w:marRight w:val="0"/>
      <w:marTop w:val="0"/>
      <w:marBottom w:val="0"/>
      <w:divBdr>
        <w:top w:val="none" w:sz="0" w:space="0" w:color="auto"/>
        <w:left w:val="none" w:sz="0" w:space="0" w:color="auto"/>
        <w:bottom w:val="none" w:sz="0" w:space="0" w:color="auto"/>
        <w:right w:val="none" w:sz="0" w:space="0" w:color="auto"/>
      </w:divBdr>
    </w:div>
    <w:div w:id="264847292">
      <w:bodyDiv w:val="1"/>
      <w:marLeft w:val="0"/>
      <w:marRight w:val="0"/>
      <w:marTop w:val="0"/>
      <w:marBottom w:val="0"/>
      <w:divBdr>
        <w:top w:val="none" w:sz="0" w:space="0" w:color="auto"/>
        <w:left w:val="none" w:sz="0" w:space="0" w:color="auto"/>
        <w:bottom w:val="none" w:sz="0" w:space="0" w:color="auto"/>
        <w:right w:val="none" w:sz="0" w:space="0" w:color="auto"/>
      </w:divBdr>
    </w:div>
    <w:div w:id="298464125">
      <w:bodyDiv w:val="1"/>
      <w:marLeft w:val="0"/>
      <w:marRight w:val="0"/>
      <w:marTop w:val="0"/>
      <w:marBottom w:val="0"/>
      <w:divBdr>
        <w:top w:val="none" w:sz="0" w:space="0" w:color="auto"/>
        <w:left w:val="none" w:sz="0" w:space="0" w:color="auto"/>
        <w:bottom w:val="none" w:sz="0" w:space="0" w:color="auto"/>
        <w:right w:val="none" w:sz="0" w:space="0" w:color="auto"/>
      </w:divBdr>
    </w:div>
    <w:div w:id="302661918">
      <w:bodyDiv w:val="1"/>
      <w:marLeft w:val="0"/>
      <w:marRight w:val="0"/>
      <w:marTop w:val="0"/>
      <w:marBottom w:val="0"/>
      <w:divBdr>
        <w:top w:val="none" w:sz="0" w:space="0" w:color="auto"/>
        <w:left w:val="none" w:sz="0" w:space="0" w:color="auto"/>
        <w:bottom w:val="none" w:sz="0" w:space="0" w:color="auto"/>
        <w:right w:val="none" w:sz="0" w:space="0" w:color="auto"/>
      </w:divBdr>
    </w:div>
    <w:div w:id="312611789">
      <w:bodyDiv w:val="1"/>
      <w:marLeft w:val="0"/>
      <w:marRight w:val="0"/>
      <w:marTop w:val="0"/>
      <w:marBottom w:val="0"/>
      <w:divBdr>
        <w:top w:val="none" w:sz="0" w:space="0" w:color="auto"/>
        <w:left w:val="none" w:sz="0" w:space="0" w:color="auto"/>
        <w:bottom w:val="none" w:sz="0" w:space="0" w:color="auto"/>
        <w:right w:val="none" w:sz="0" w:space="0" w:color="auto"/>
      </w:divBdr>
    </w:div>
    <w:div w:id="337117460">
      <w:bodyDiv w:val="1"/>
      <w:marLeft w:val="0"/>
      <w:marRight w:val="0"/>
      <w:marTop w:val="0"/>
      <w:marBottom w:val="0"/>
      <w:divBdr>
        <w:top w:val="none" w:sz="0" w:space="0" w:color="auto"/>
        <w:left w:val="none" w:sz="0" w:space="0" w:color="auto"/>
        <w:bottom w:val="none" w:sz="0" w:space="0" w:color="auto"/>
        <w:right w:val="none" w:sz="0" w:space="0" w:color="auto"/>
      </w:divBdr>
    </w:div>
    <w:div w:id="354622143">
      <w:bodyDiv w:val="1"/>
      <w:marLeft w:val="0"/>
      <w:marRight w:val="0"/>
      <w:marTop w:val="0"/>
      <w:marBottom w:val="0"/>
      <w:divBdr>
        <w:top w:val="none" w:sz="0" w:space="0" w:color="auto"/>
        <w:left w:val="none" w:sz="0" w:space="0" w:color="auto"/>
        <w:bottom w:val="none" w:sz="0" w:space="0" w:color="auto"/>
        <w:right w:val="none" w:sz="0" w:space="0" w:color="auto"/>
      </w:divBdr>
    </w:div>
    <w:div w:id="362676595">
      <w:bodyDiv w:val="1"/>
      <w:marLeft w:val="0"/>
      <w:marRight w:val="0"/>
      <w:marTop w:val="0"/>
      <w:marBottom w:val="0"/>
      <w:divBdr>
        <w:top w:val="none" w:sz="0" w:space="0" w:color="auto"/>
        <w:left w:val="none" w:sz="0" w:space="0" w:color="auto"/>
        <w:bottom w:val="none" w:sz="0" w:space="0" w:color="auto"/>
        <w:right w:val="none" w:sz="0" w:space="0" w:color="auto"/>
      </w:divBdr>
    </w:div>
    <w:div w:id="369302637">
      <w:bodyDiv w:val="1"/>
      <w:marLeft w:val="0"/>
      <w:marRight w:val="0"/>
      <w:marTop w:val="0"/>
      <w:marBottom w:val="0"/>
      <w:divBdr>
        <w:top w:val="none" w:sz="0" w:space="0" w:color="auto"/>
        <w:left w:val="none" w:sz="0" w:space="0" w:color="auto"/>
        <w:bottom w:val="none" w:sz="0" w:space="0" w:color="auto"/>
        <w:right w:val="none" w:sz="0" w:space="0" w:color="auto"/>
      </w:divBdr>
    </w:div>
    <w:div w:id="382946995">
      <w:bodyDiv w:val="1"/>
      <w:marLeft w:val="0"/>
      <w:marRight w:val="0"/>
      <w:marTop w:val="0"/>
      <w:marBottom w:val="0"/>
      <w:divBdr>
        <w:top w:val="none" w:sz="0" w:space="0" w:color="auto"/>
        <w:left w:val="none" w:sz="0" w:space="0" w:color="auto"/>
        <w:bottom w:val="none" w:sz="0" w:space="0" w:color="auto"/>
        <w:right w:val="none" w:sz="0" w:space="0" w:color="auto"/>
      </w:divBdr>
    </w:div>
    <w:div w:id="430668909">
      <w:bodyDiv w:val="1"/>
      <w:marLeft w:val="0"/>
      <w:marRight w:val="0"/>
      <w:marTop w:val="0"/>
      <w:marBottom w:val="0"/>
      <w:divBdr>
        <w:top w:val="none" w:sz="0" w:space="0" w:color="auto"/>
        <w:left w:val="none" w:sz="0" w:space="0" w:color="auto"/>
        <w:bottom w:val="none" w:sz="0" w:space="0" w:color="auto"/>
        <w:right w:val="none" w:sz="0" w:space="0" w:color="auto"/>
      </w:divBdr>
    </w:div>
    <w:div w:id="432166056">
      <w:bodyDiv w:val="1"/>
      <w:marLeft w:val="0"/>
      <w:marRight w:val="0"/>
      <w:marTop w:val="0"/>
      <w:marBottom w:val="0"/>
      <w:divBdr>
        <w:top w:val="none" w:sz="0" w:space="0" w:color="auto"/>
        <w:left w:val="none" w:sz="0" w:space="0" w:color="auto"/>
        <w:bottom w:val="none" w:sz="0" w:space="0" w:color="auto"/>
        <w:right w:val="none" w:sz="0" w:space="0" w:color="auto"/>
      </w:divBdr>
    </w:div>
    <w:div w:id="440540505">
      <w:bodyDiv w:val="1"/>
      <w:marLeft w:val="0"/>
      <w:marRight w:val="0"/>
      <w:marTop w:val="0"/>
      <w:marBottom w:val="0"/>
      <w:divBdr>
        <w:top w:val="none" w:sz="0" w:space="0" w:color="auto"/>
        <w:left w:val="none" w:sz="0" w:space="0" w:color="auto"/>
        <w:bottom w:val="none" w:sz="0" w:space="0" w:color="auto"/>
        <w:right w:val="none" w:sz="0" w:space="0" w:color="auto"/>
      </w:divBdr>
    </w:div>
    <w:div w:id="445202550">
      <w:bodyDiv w:val="1"/>
      <w:marLeft w:val="0"/>
      <w:marRight w:val="0"/>
      <w:marTop w:val="0"/>
      <w:marBottom w:val="0"/>
      <w:divBdr>
        <w:top w:val="none" w:sz="0" w:space="0" w:color="auto"/>
        <w:left w:val="none" w:sz="0" w:space="0" w:color="auto"/>
        <w:bottom w:val="none" w:sz="0" w:space="0" w:color="auto"/>
        <w:right w:val="none" w:sz="0" w:space="0" w:color="auto"/>
      </w:divBdr>
    </w:div>
    <w:div w:id="446045141">
      <w:bodyDiv w:val="1"/>
      <w:marLeft w:val="0"/>
      <w:marRight w:val="0"/>
      <w:marTop w:val="0"/>
      <w:marBottom w:val="0"/>
      <w:divBdr>
        <w:top w:val="none" w:sz="0" w:space="0" w:color="auto"/>
        <w:left w:val="none" w:sz="0" w:space="0" w:color="auto"/>
        <w:bottom w:val="none" w:sz="0" w:space="0" w:color="auto"/>
        <w:right w:val="none" w:sz="0" w:space="0" w:color="auto"/>
      </w:divBdr>
    </w:div>
    <w:div w:id="452406382">
      <w:bodyDiv w:val="1"/>
      <w:marLeft w:val="0"/>
      <w:marRight w:val="0"/>
      <w:marTop w:val="0"/>
      <w:marBottom w:val="0"/>
      <w:divBdr>
        <w:top w:val="none" w:sz="0" w:space="0" w:color="auto"/>
        <w:left w:val="none" w:sz="0" w:space="0" w:color="auto"/>
        <w:bottom w:val="none" w:sz="0" w:space="0" w:color="auto"/>
        <w:right w:val="none" w:sz="0" w:space="0" w:color="auto"/>
      </w:divBdr>
    </w:div>
    <w:div w:id="453527772">
      <w:bodyDiv w:val="1"/>
      <w:marLeft w:val="0"/>
      <w:marRight w:val="0"/>
      <w:marTop w:val="0"/>
      <w:marBottom w:val="0"/>
      <w:divBdr>
        <w:top w:val="none" w:sz="0" w:space="0" w:color="auto"/>
        <w:left w:val="none" w:sz="0" w:space="0" w:color="auto"/>
        <w:bottom w:val="none" w:sz="0" w:space="0" w:color="auto"/>
        <w:right w:val="none" w:sz="0" w:space="0" w:color="auto"/>
      </w:divBdr>
      <w:divsChild>
        <w:div w:id="1606577450">
          <w:marLeft w:val="907"/>
          <w:marRight w:val="0"/>
          <w:marTop w:val="0"/>
          <w:marBottom w:val="0"/>
          <w:divBdr>
            <w:top w:val="none" w:sz="0" w:space="0" w:color="auto"/>
            <w:left w:val="none" w:sz="0" w:space="0" w:color="auto"/>
            <w:bottom w:val="none" w:sz="0" w:space="0" w:color="auto"/>
            <w:right w:val="none" w:sz="0" w:space="0" w:color="auto"/>
          </w:divBdr>
        </w:div>
        <w:div w:id="1118765770">
          <w:marLeft w:val="907"/>
          <w:marRight w:val="0"/>
          <w:marTop w:val="0"/>
          <w:marBottom w:val="0"/>
          <w:divBdr>
            <w:top w:val="none" w:sz="0" w:space="0" w:color="auto"/>
            <w:left w:val="none" w:sz="0" w:space="0" w:color="auto"/>
            <w:bottom w:val="none" w:sz="0" w:space="0" w:color="auto"/>
            <w:right w:val="none" w:sz="0" w:space="0" w:color="auto"/>
          </w:divBdr>
        </w:div>
      </w:divsChild>
    </w:div>
    <w:div w:id="465658579">
      <w:bodyDiv w:val="1"/>
      <w:marLeft w:val="0"/>
      <w:marRight w:val="0"/>
      <w:marTop w:val="0"/>
      <w:marBottom w:val="0"/>
      <w:divBdr>
        <w:top w:val="none" w:sz="0" w:space="0" w:color="auto"/>
        <w:left w:val="none" w:sz="0" w:space="0" w:color="auto"/>
        <w:bottom w:val="none" w:sz="0" w:space="0" w:color="auto"/>
        <w:right w:val="none" w:sz="0" w:space="0" w:color="auto"/>
      </w:divBdr>
    </w:div>
    <w:div w:id="527640655">
      <w:bodyDiv w:val="1"/>
      <w:marLeft w:val="0"/>
      <w:marRight w:val="0"/>
      <w:marTop w:val="0"/>
      <w:marBottom w:val="0"/>
      <w:divBdr>
        <w:top w:val="none" w:sz="0" w:space="0" w:color="auto"/>
        <w:left w:val="none" w:sz="0" w:space="0" w:color="auto"/>
        <w:bottom w:val="none" w:sz="0" w:space="0" w:color="auto"/>
        <w:right w:val="none" w:sz="0" w:space="0" w:color="auto"/>
      </w:divBdr>
    </w:div>
    <w:div w:id="541478715">
      <w:bodyDiv w:val="1"/>
      <w:marLeft w:val="0"/>
      <w:marRight w:val="0"/>
      <w:marTop w:val="0"/>
      <w:marBottom w:val="0"/>
      <w:divBdr>
        <w:top w:val="none" w:sz="0" w:space="0" w:color="auto"/>
        <w:left w:val="none" w:sz="0" w:space="0" w:color="auto"/>
        <w:bottom w:val="none" w:sz="0" w:space="0" w:color="auto"/>
        <w:right w:val="none" w:sz="0" w:space="0" w:color="auto"/>
      </w:divBdr>
    </w:div>
    <w:div w:id="547031233">
      <w:bodyDiv w:val="1"/>
      <w:marLeft w:val="0"/>
      <w:marRight w:val="0"/>
      <w:marTop w:val="0"/>
      <w:marBottom w:val="0"/>
      <w:divBdr>
        <w:top w:val="none" w:sz="0" w:space="0" w:color="auto"/>
        <w:left w:val="none" w:sz="0" w:space="0" w:color="auto"/>
        <w:bottom w:val="none" w:sz="0" w:space="0" w:color="auto"/>
        <w:right w:val="none" w:sz="0" w:space="0" w:color="auto"/>
      </w:divBdr>
    </w:div>
    <w:div w:id="580020042">
      <w:bodyDiv w:val="1"/>
      <w:marLeft w:val="0"/>
      <w:marRight w:val="0"/>
      <w:marTop w:val="0"/>
      <w:marBottom w:val="0"/>
      <w:divBdr>
        <w:top w:val="none" w:sz="0" w:space="0" w:color="auto"/>
        <w:left w:val="none" w:sz="0" w:space="0" w:color="auto"/>
        <w:bottom w:val="none" w:sz="0" w:space="0" w:color="auto"/>
        <w:right w:val="none" w:sz="0" w:space="0" w:color="auto"/>
      </w:divBdr>
    </w:div>
    <w:div w:id="580482529">
      <w:bodyDiv w:val="1"/>
      <w:marLeft w:val="0"/>
      <w:marRight w:val="0"/>
      <w:marTop w:val="0"/>
      <w:marBottom w:val="0"/>
      <w:divBdr>
        <w:top w:val="none" w:sz="0" w:space="0" w:color="auto"/>
        <w:left w:val="none" w:sz="0" w:space="0" w:color="auto"/>
        <w:bottom w:val="none" w:sz="0" w:space="0" w:color="auto"/>
        <w:right w:val="none" w:sz="0" w:space="0" w:color="auto"/>
      </w:divBdr>
    </w:div>
    <w:div w:id="586424281">
      <w:bodyDiv w:val="1"/>
      <w:marLeft w:val="0"/>
      <w:marRight w:val="0"/>
      <w:marTop w:val="0"/>
      <w:marBottom w:val="0"/>
      <w:divBdr>
        <w:top w:val="none" w:sz="0" w:space="0" w:color="auto"/>
        <w:left w:val="none" w:sz="0" w:space="0" w:color="auto"/>
        <w:bottom w:val="none" w:sz="0" w:space="0" w:color="auto"/>
        <w:right w:val="none" w:sz="0" w:space="0" w:color="auto"/>
      </w:divBdr>
    </w:div>
    <w:div w:id="600603350">
      <w:bodyDiv w:val="1"/>
      <w:marLeft w:val="0"/>
      <w:marRight w:val="0"/>
      <w:marTop w:val="0"/>
      <w:marBottom w:val="0"/>
      <w:divBdr>
        <w:top w:val="none" w:sz="0" w:space="0" w:color="auto"/>
        <w:left w:val="none" w:sz="0" w:space="0" w:color="auto"/>
        <w:bottom w:val="none" w:sz="0" w:space="0" w:color="auto"/>
        <w:right w:val="none" w:sz="0" w:space="0" w:color="auto"/>
      </w:divBdr>
    </w:div>
    <w:div w:id="636690095">
      <w:bodyDiv w:val="1"/>
      <w:marLeft w:val="0"/>
      <w:marRight w:val="0"/>
      <w:marTop w:val="0"/>
      <w:marBottom w:val="0"/>
      <w:divBdr>
        <w:top w:val="none" w:sz="0" w:space="0" w:color="auto"/>
        <w:left w:val="none" w:sz="0" w:space="0" w:color="auto"/>
        <w:bottom w:val="none" w:sz="0" w:space="0" w:color="auto"/>
        <w:right w:val="none" w:sz="0" w:space="0" w:color="auto"/>
      </w:divBdr>
    </w:div>
    <w:div w:id="645476713">
      <w:bodyDiv w:val="1"/>
      <w:marLeft w:val="0"/>
      <w:marRight w:val="0"/>
      <w:marTop w:val="0"/>
      <w:marBottom w:val="0"/>
      <w:divBdr>
        <w:top w:val="none" w:sz="0" w:space="0" w:color="auto"/>
        <w:left w:val="none" w:sz="0" w:space="0" w:color="auto"/>
        <w:bottom w:val="none" w:sz="0" w:space="0" w:color="auto"/>
        <w:right w:val="none" w:sz="0" w:space="0" w:color="auto"/>
      </w:divBdr>
    </w:div>
    <w:div w:id="647904128">
      <w:bodyDiv w:val="1"/>
      <w:marLeft w:val="0"/>
      <w:marRight w:val="0"/>
      <w:marTop w:val="0"/>
      <w:marBottom w:val="0"/>
      <w:divBdr>
        <w:top w:val="none" w:sz="0" w:space="0" w:color="auto"/>
        <w:left w:val="none" w:sz="0" w:space="0" w:color="auto"/>
        <w:bottom w:val="none" w:sz="0" w:space="0" w:color="auto"/>
        <w:right w:val="none" w:sz="0" w:space="0" w:color="auto"/>
      </w:divBdr>
    </w:div>
    <w:div w:id="648628759">
      <w:bodyDiv w:val="1"/>
      <w:marLeft w:val="0"/>
      <w:marRight w:val="0"/>
      <w:marTop w:val="0"/>
      <w:marBottom w:val="0"/>
      <w:divBdr>
        <w:top w:val="none" w:sz="0" w:space="0" w:color="auto"/>
        <w:left w:val="none" w:sz="0" w:space="0" w:color="auto"/>
        <w:bottom w:val="none" w:sz="0" w:space="0" w:color="auto"/>
        <w:right w:val="none" w:sz="0" w:space="0" w:color="auto"/>
      </w:divBdr>
    </w:div>
    <w:div w:id="650066443">
      <w:bodyDiv w:val="1"/>
      <w:marLeft w:val="0"/>
      <w:marRight w:val="0"/>
      <w:marTop w:val="0"/>
      <w:marBottom w:val="0"/>
      <w:divBdr>
        <w:top w:val="none" w:sz="0" w:space="0" w:color="auto"/>
        <w:left w:val="none" w:sz="0" w:space="0" w:color="auto"/>
        <w:bottom w:val="none" w:sz="0" w:space="0" w:color="auto"/>
        <w:right w:val="none" w:sz="0" w:space="0" w:color="auto"/>
      </w:divBdr>
      <w:divsChild>
        <w:div w:id="1654796440">
          <w:marLeft w:val="0"/>
          <w:marRight w:val="0"/>
          <w:marTop w:val="0"/>
          <w:marBottom w:val="0"/>
          <w:divBdr>
            <w:top w:val="none" w:sz="0" w:space="0" w:color="auto"/>
            <w:left w:val="none" w:sz="0" w:space="0" w:color="auto"/>
            <w:bottom w:val="none" w:sz="0" w:space="0" w:color="auto"/>
            <w:right w:val="none" w:sz="0" w:space="0" w:color="auto"/>
          </w:divBdr>
        </w:div>
        <w:div w:id="1307392418">
          <w:marLeft w:val="0"/>
          <w:marRight w:val="0"/>
          <w:marTop w:val="0"/>
          <w:marBottom w:val="0"/>
          <w:divBdr>
            <w:top w:val="none" w:sz="0" w:space="0" w:color="auto"/>
            <w:left w:val="none" w:sz="0" w:space="0" w:color="auto"/>
            <w:bottom w:val="none" w:sz="0" w:space="0" w:color="auto"/>
            <w:right w:val="none" w:sz="0" w:space="0" w:color="auto"/>
          </w:divBdr>
        </w:div>
      </w:divsChild>
    </w:div>
    <w:div w:id="669254282">
      <w:bodyDiv w:val="1"/>
      <w:marLeft w:val="0"/>
      <w:marRight w:val="0"/>
      <w:marTop w:val="0"/>
      <w:marBottom w:val="0"/>
      <w:divBdr>
        <w:top w:val="none" w:sz="0" w:space="0" w:color="auto"/>
        <w:left w:val="none" w:sz="0" w:space="0" w:color="auto"/>
        <w:bottom w:val="none" w:sz="0" w:space="0" w:color="auto"/>
        <w:right w:val="none" w:sz="0" w:space="0" w:color="auto"/>
      </w:divBdr>
    </w:div>
    <w:div w:id="726219921">
      <w:bodyDiv w:val="1"/>
      <w:marLeft w:val="0"/>
      <w:marRight w:val="0"/>
      <w:marTop w:val="0"/>
      <w:marBottom w:val="0"/>
      <w:divBdr>
        <w:top w:val="none" w:sz="0" w:space="0" w:color="auto"/>
        <w:left w:val="none" w:sz="0" w:space="0" w:color="auto"/>
        <w:bottom w:val="none" w:sz="0" w:space="0" w:color="auto"/>
        <w:right w:val="none" w:sz="0" w:space="0" w:color="auto"/>
      </w:divBdr>
    </w:div>
    <w:div w:id="726490380">
      <w:bodyDiv w:val="1"/>
      <w:marLeft w:val="0"/>
      <w:marRight w:val="0"/>
      <w:marTop w:val="0"/>
      <w:marBottom w:val="0"/>
      <w:divBdr>
        <w:top w:val="none" w:sz="0" w:space="0" w:color="auto"/>
        <w:left w:val="none" w:sz="0" w:space="0" w:color="auto"/>
        <w:bottom w:val="none" w:sz="0" w:space="0" w:color="auto"/>
        <w:right w:val="none" w:sz="0" w:space="0" w:color="auto"/>
      </w:divBdr>
    </w:div>
    <w:div w:id="731656791">
      <w:bodyDiv w:val="1"/>
      <w:marLeft w:val="0"/>
      <w:marRight w:val="0"/>
      <w:marTop w:val="0"/>
      <w:marBottom w:val="0"/>
      <w:divBdr>
        <w:top w:val="none" w:sz="0" w:space="0" w:color="auto"/>
        <w:left w:val="none" w:sz="0" w:space="0" w:color="auto"/>
        <w:bottom w:val="none" w:sz="0" w:space="0" w:color="auto"/>
        <w:right w:val="none" w:sz="0" w:space="0" w:color="auto"/>
      </w:divBdr>
    </w:div>
    <w:div w:id="804280113">
      <w:bodyDiv w:val="1"/>
      <w:marLeft w:val="0"/>
      <w:marRight w:val="0"/>
      <w:marTop w:val="0"/>
      <w:marBottom w:val="0"/>
      <w:divBdr>
        <w:top w:val="none" w:sz="0" w:space="0" w:color="auto"/>
        <w:left w:val="none" w:sz="0" w:space="0" w:color="auto"/>
        <w:bottom w:val="none" w:sz="0" w:space="0" w:color="auto"/>
        <w:right w:val="none" w:sz="0" w:space="0" w:color="auto"/>
      </w:divBdr>
    </w:div>
    <w:div w:id="815342188">
      <w:bodyDiv w:val="1"/>
      <w:marLeft w:val="0"/>
      <w:marRight w:val="0"/>
      <w:marTop w:val="0"/>
      <w:marBottom w:val="0"/>
      <w:divBdr>
        <w:top w:val="none" w:sz="0" w:space="0" w:color="auto"/>
        <w:left w:val="none" w:sz="0" w:space="0" w:color="auto"/>
        <w:bottom w:val="none" w:sz="0" w:space="0" w:color="auto"/>
        <w:right w:val="none" w:sz="0" w:space="0" w:color="auto"/>
      </w:divBdr>
    </w:div>
    <w:div w:id="815955589">
      <w:bodyDiv w:val="1"/>
      <w:marLeft w:val="0"/>
      <w:marRight w:val="0"/>
      <w:marTop w:val="0"/>
      <w:marBottom w:val="0"/>
      <w:divBdr>
        <w:top w:val="none" w:sz="0" w:space="0" w:color="auto"/>
        <w:left w:val="none" w:sz="0" w:space="0" w:color="auto"/>
        <w:bottom w:val="none" w:sz="0" w:space="0" w:color="auto"/>
        <w:right w:val="none" w:sz="0" w:space="0" w:color="auto"/>
      </w:divBdr>
    </w:div>
    <w:div w:id="818808769">
      <w:bodyDiv w:val="1"/>
      <w:marLeft w:val="0"/>
      <w:marRight w:val="0"/>
      <w:marTop w:val="0"/>
      <w:marBottom w:val="0"/>
      <w:divBdr>
        <w:top w:val="none" w:sz="0" w:space="0" w:color="auto"/>
        <w:left w:val="none" w:sz="0" w:space="0" w:color="auto"/>
        <w:bottom w:val="none" w:sz="0" w:space="0" w:color="auto"/>
        <w:right w:val="none" w:sz="0" w:space="0" w:color="auto"/>
      </w:divBdr>
    </w:div>
    <w:div w:id="823427049">
      <w:bodyDiv w:val="1"/>
      <w:marLeft w:val="0"/>
      <w:marRight w:val="0"/>
      <w:marTop w:val="0"/>
      <w:marBottom w:val="0"/>
      <w:divBdr>
        <w:top w:val="none" w:sz="0" w:space="0" w:color="auto"/>
        <w:left w:val="none" w:sz="0" w:space="0" w:color="auto"/>
        <w:bottom w:val="none" w:sz="0" w:space="0" w:color="auto"/>
        <w:right w:val="none" w:sz="0" w:space="0" w:color="auto"/>
      </w:divBdr>
    </w:div>
    <w:div w:id="854881084">
      <w:bodyDiv w:val="1"/>
      <w:marLeft w:val="0"/>
      <w:marRight w:val="0"/>
      <w:marTop w:val="0"/>
      <w:marBottom w:val="0"/>
      <w:divBdr>
        <w:top w:val="none" w:sz="0" w:space="0" w:color="auto"/>
        <w:left w:val="none" w:sz="0" w:space="0" w:color="auto"/>
        <w:bottom w:val="none" w:sz="0" w:space="0" w:color="auto"/>
        <w:right w:val="none" w:sz="0" w:space="0" w:color="auto"/>
      </w:divBdr>
    </w:div>
    <w:div w:id="880748046">
      <w:bodyDiv w:val="1"/>
      <w:marLeft w:val="0"/>
      <w:marRight w:val="0"/>
      <w:marTop w:val="0"/>
      <w:marBottom w:val="0"/>
      <w:divBdr>
        <w:top w:val="none" w:sz="0" w:space="0" w:color="auto"/>
        <w:left w:val="none" w:sz="0" w:space="0" w:color="auto"/>
        <w:bottom w:val="none" w:sz="0" w:space="0" w:color="auto"/>
        <w:right w:val="none" w:sz="0" w:space="0" w:color="auto"/>
      </w:divBdr>
    </w:div>
    <w:div w:id="886457090">
      <w:bodyDiv w:val="1"/>
      <w:marLeft w:val="0"/>
      <w:marRight w:val="0"/>
      <w:marTop w:val="0"/>
      <w:marBottom w:val="0"/>
      <w:divBdr>
        <w:top w:val="none" w:sz="0" w:space="0" w:color="auto"/>
        <w:left w:val="none" w:sz="0" w:space="0" w:color="auto"/>
        <w:bottom w:val="none" w:sz="0" w:space="0" w:color="auto"/>
        <w:right w:val="none" w:sz="0" w:space="0" w:color="auto"/>
      </w:divBdr>
    </w:div>
    <w:div w:id="939028451">
      <w:bodyDiv w:val="1"/>
      <w:marLeft w:val="0"/>
      <w:marRight w:val="0"/>
      <w:marTop w:val="0"/>
      <w:marBottom w:val="0"/>
      <w:divBdr>
        <w:top w:val="none" w:sz="0" w:space="0" w:color="auto"/>
        <w:left w:val="none" w:sz="0" w:space="0" w:color="auto"/>
        <w:bottom w:val="none" w:sz="0" w:space="0" w:color="auto"/>
        <w:right w:val="none" w:sz="0" w:space="0" w:color="auto"/>
      </w:divBdr>
    </w:div>
    <w:div w:id="944191618">
      <w:bodyDiv w:val="1"/>
      <w:marLeft w:val="0"/>
      <w:marRight w:val="0"/>
      <w:marTop w:val="0"/>
      <w:marBottom w:val="0"/>
      <w:divBdr>
        <w:top w:val="none" w:sz="0" w:space="0" w:color="auto"/>
        <w:left w:val="none" w:sz="0" w:space="0" w:color="auto"/>
        <w:bottom w:val="none" w:sz="0" w:space="0" w:color="auto"/>
        <w:right w:val="none" w:sz="0" w:space="0" w:color="auto"/>
      </w:divBdr>
    </w:div>
    <w:div w:id="949509226">
      <w:bodyDiv w:val="1"/>
      <w:marLeft w:val="0"/>
      <w:marRight w:val="0"/>
      <w:marTop w:val="0"/>
      <w:marBottom w:val="0"/>
      <w:divBdr>
        <w:top w:val="none" w:sz="0" w:space="0" w:color="auto"/>
        <w:left w:val="none" w:sz="0" w:space="0" w:color="auto"/>
        <w:bottom w:val="none" w:sz="0" w:space="0" w:color="auto"/>
        <w:right w:val="none" w:sz="0" w:space="0" w:color="auto"/>
      </w:divBdr>
    </w:div>
    <w:div w:id="980842465">
      <w:bodyDiv w:val="1"/>
      <w:marLeft w:val="0"/>
      <w:marRight w:val="0"/>
      <w:marTop w:val="0"/>
      <w:marBottom w:val="0"/>
      <w:divBdr>
        <w:top w:val="none" w:sz="0" w:space="0" w:color="auto"/>
        <w:left w:val="none" w:sz="0" w:space="0" w:color="auto"/>
        <w:bottom w:val="none" w:sz="0" w:space="0" w:color="auto"/>
        <w:right w:val="none" w:sz="0" w:space="0" w:color="auto"/>
      </w:divBdr>
    </w:div>
    <w:div w:id="1002314600">
      <w:bodyDiv w:val="1"/>
      <w:marLeft w:val="0"/>
      <w:marRight w:val="0"/>
      <w:marTop w:val="0"/>
      <w:marBottom w:val="0"/>
      <w:divBdr>
        <w:top w:val="none" w:sz="0" w:space="0" w:color="auto"/>
        <w:left w:val="none" w:sz="0" w:space="0" w:color="auto"/>
        <w:bottom w:val="none" w:sz="0" w:space="0" w:color="auto"/>
        <w:right w:val="none" w:sz="0" w:space="0" w:color="auto"/>
      </w:divBdr>
    </w:div>
    <w:div w:id="1007636061">
      <w:bodyDiv w:val="1"/>
      <w:marLeft w:val="0"/>
      <w:marRight w:val="0"/>
      <w:marTop w:val="0"/>
      <w:marBottom w:val="0"/>
      <w:divBdr>
        <w:top w:val="none" w:sz="0" w:space="0" w:color="auto"/>
        <w:left w:val="none" w:sz="0" w:space="0" w:color="auto"/>
        <w:bottom w:val="none" w:sz="0" w:space="0" w:color="auto"/>
        <w:right w:val="none" w:sz="0" w:space="0" w:color="auto"/>
      </w:divBdr>
    </w:div>
    <w:div w:id="1019311909">
      <w:bodyDiv w:val="1"/>
      <w:marLeft w:val="0"/>
      <w:marRight w:val="0"/>
      <w:marTop w:val="0"/>
      <w:marBottom w:val="0"/>
      <w:divBdr>
        <w:top w:val="none" w:sz="0" w:space="0" w:color="auto"/>
        <w:left w:val="none" w:sz="0" w:space="0" w:color="auto"/>
        <w:bottom w:val="none" w:sz="0" w:space="0" w:color="auto"/>
        <w:right w:val="none" w:sz="0" w:space="0" w:color="auto"/>
      </w:divBdr>
    </w:div>
    <w:div w:id="1036008186">
      <w:bodyDiv w:val="1"/>
      <w:marLeft w:val="0"/>
      <w:marRight w:val="0"/>
      <w:marTop w:val="0"/>
      <w:marBottom w:val="0"/>
      <w:divBdr>
        <w:top w:val="none" w:sz="0" w:space="0" w:color="auto"/>
        <w:left w:val="none" w:sz="0" w:space="0" w:color="auto"/>
        <w:bottom w:val="none" w:sz="0" w:space="0" w:color="auto"/>
        <w:right w:val="none" w:sz="0" w:space="0" w:color="auto"/>
      </w:divBdr>
    </w:div>
    <w:div w:id="1045636593">
      <w:bodyDiv w:val="1"/>
      <w:marLeft w:val="0"/>
      <w:marRight w:val="0"/>
      <w:marTop w:val="0"/>
      <w:marBottom w:val="0"/>
      <w:divBdr>
        <w:top w:val="none" w:sz="0" w:space="0" w:color="auto"/>
        <w:left w:val="none" w:sz="0" w:space="0" w:color="auto"/>
        <w:bottom w:val="none" w:sz="0" w:space="0" w:color="auto"/>
        <w:right w:val="none" w:sz="0" w:space="0" w:color="auto"/>
      </w:divBdr>
    </w:div>
    <w:div w:id="1066487216">
      <w:bodyDiv w:val="1"/>
      <w:marLeft w:val="0"/>
      <w:marRight w:val="0"/>
      <w:marTop w:val="0"/>
      <w:marBottom w:val="0"/>
      <w:divBdr>
        <w:top w:val="none" w:sz="0" w:space="0" w:color="auto"/>
        <w:left w:val="none" w:sz="0" w:space="0" w:color="auto"/>
        <w:bottom w:val="none" w:sz="0" w:space="0" w:color="auto"/>
        <w:right w:val="none" w:sz="0" w:space="0" w:color="auto"/>
      </w:divBdr>
    </w:div>
    <w:div w:id="1103764821">
      <w:bodyDiv w:val="1"/>
      <w:marLeft w:val="0"/>
      <w:marRight w:val="0"/>
      <w:marTop w:val="0"/>
      <w:marBottom w:val="0"/>
      <w:divBdr>
        <w:top w:val="none" w:sz="0" w:space="0" w:color="auto"/>
        <w:left w:val="none" w:sz="0" w:space="0" w:color="auto"/>
        <w:bottom w:val="none" w:sz="0" w:space="0" w:color="auto"/>
        <w:right w:val="none" w:sz="0" w:space="0" w:color="auto"/>
      </w:divBdr>
    </w:div>
    <w:div w:id="1141727055">
      <w:bodyDiv w:val="1"/>
      <w:marLeft w:val="0"/>
      <w:marRight w:val="0"/>
      <w:marTop w:val="0"/>
      <w:marBottom w:val="0"/>
      <w:divBdr>
        <w:top w:val="none" w:sz="0" w:space="0" w:color="auto"/>
        <w:left w:val="none" w:sz="0" w:space="0" w:color="auto"/>
        <w:bottom w:val="none" w:sz="0" w:space="0" w:color="auto"/>
        <w:right w:val="none" w:sz="0" w:space="0" w:color="auto"/>
      </w:divBdr>
    </w:div>
    <w:div w:id="1156796020">
      <w:bodyDiv w:val="1"/>
      <w:marLeft w:val="0"/>
      <w:marRight w:val="0"/>
      <w:marTop w:val="0"/>
      <w:marBottom w:val="0"/>
      <w:divBdr>
        <w:top w:val="none" w:sz="0" w:space="0" w:color="auto"/>
        <w:left w:val="none" w:sz="0" w:space="0" w:color="auto"/>
        <w:bottom w:val="none" w:sz="0" w:space="0" w:color="auto"/>
        <w:right w:val="none" w:sz="0" w:space="0" w:color="auto"/>
      </w:divBdr>
    </w:div>
    <w:div w:id="1181745994">
      <w:bodyDiv w:val="1"/>
      <w:marLeft w:val="0"/>
      <w:marRight w:val="0"/>
      <w:marTop w:val="0"/>
      <w:marBottom w:val="0"/>
      <w:divBdr>
        <w:top w:val="none" w:sz="0" w:space="0" w:color="auto"/>
        <w:left w:val="none" w:sz="0" w:space="0" w:color="auto"/>
        <w:bottom w:val="none" w:sz="0" w:space="0" w:color="auto"/>
        <w:right w:val="none" w:sz="0" w:space="0" w:color="auto"/>
      </w:divBdr>
    </w:div>
    <w:div w:id="1181892437">
      <w:bodyDiv w:val="1"/>
      <w:marLeft w:val="0"/>
      <w:marRight w:val="0"/>
      <w:marTop w:val="0"/>
      <w:marBottom w:val="0"/>
      <w:divBdr>
        <w:top w:val="none" w:sz="0" w:space="0" w:color="auto"/>
        <w:left w:val="none" w:sz="0" w:space="0" w:color="auto"/>
        <w:bottom w:val="none" w:sz="0" w:space="0" w:color="auto"/>
        <w:right w:val="none" w:sz="0" w:space="0" w:color="auto"/>
      </w:divBdr>
    </w:div>
    <w:div w:id="1197233094">
      <w:bodyDiv w:val="1"/>
      <w:marLeft w:val="0"/>
      <w:marRight w:val="0"/>
      <w:marTop w:val="0"/>
      <w:marBottom w:val="0"/>
      <w:divBdr>
        <w:top w:val="none" w:sz="0" w:space="0" w:color="auto"/>
        <w:left w:val="none" w:sz="0" w:space="0" w:color="auto"/>
        <w:bottom w:val="none" w:sz="0" w:space="0" w:color="auto"/>
        <w:right w:val="none" w:sz="0" w:space="0" w:color="auto"/>
      </w:divBdr>
    </w:div>
    <w:div w:id="1219244780">
      <w:bodyDiv w:val="1"/>
      <w:marLeft w:val="0"/>
      <w:marRight w:val="0"/>
      <w:marTop w:val="0"/>
      <w:marBottom w:val="0"/>
      <w:divBdr>
        <w:top w:val="none" w:sz="0" w:space="0" w:color="auto"/>
        <w:left w:val="none" w:sz="0" w:space="0" w:color="auto"/>
        <w:bottom w:val="none" w:sz="0" w:space="0" w:color="auto"/>
        <w:right w:val="none" w:sz="0" w:space="0" w:color="auto"/>
      </w:divBdr>
    </w:div>
    <w:div w:id="1226142925">
      <w:bodyDiv w:val="1"/>
      <w:marLeft w:val="0"/>
      <w:marRight w:val="0"/>
      <w:marTop w:val="0"/>
      <w:marBottom w:val="0"/>
      <w:divBdr>
        <w:top w:val="none" w:sz="0" w:space="0" w:color="auto"/>
        <w:left w:val="none" w:sz="0" w:space="0" w:color="auto"/>
        <w:bottom w:val="none" w:sz="0" w:space="0" w:color="auto"/>
        <w:right w:val="none" w:sz="0" w:space="0" w:color="auto"/>
      </w:divBdr>
    </w:div>
    <w:div w:id="1268005251">
      <w:bodyDiv w:val="1"/>
      <w:marLeft w:val="0"/>
      <w:marRight w:val="0"/>
      <w:marTop w:val="0"/>
      <w:marBottom w:val="0"/>
      <w:divBdr>
        <w:top w:val="none" w:sz="0" w:space="0" w:color="auto"/>
        <w:left w:val="none" w:sz="0" w:space="0" w:color="auto"/>
        <w:bottom w:val="none" w:sz="0" w:space="0" w:color="auto"/>
        <w:right w:val="none" w:sz="0" w:space="0" w:color="auto"/>
      </w:divBdr>
    </w:div>
    <w:div w:id="1291277699">
      <w:bodyDiv w:val="1"/>
      <w:marLeft w:val="0"/>
      <w:marRight w:val="0"/>
      <w:marTop w:val="0"/>
      <w:marBottom w:val="0"/>
      <w:divBdr>
        <w:top w:val="none" w:sz="0" w:space="0" w:color="auto"/>
        <w:left w:val="none" w:sz="0" w:space="0" w:color="auto"/>
        <w:bottom w:val="none" w:sz="0" w:space="0" w:color="auto"/>
        <w:right w:val="none" w:sz="0" w:space="0" w:color="auto"/>
      </w:divBdr>
    </w:div>
    <w:div w:id="1294212523">
      <w:bodyDiv w:val="1"/>
      <w:marLeft w:val="0"/>
      <w:marRight w:val="0"/>
      <w:marTop w:val="0"/>
      <w:marBottom w:val="0"/>
      <w:divBdr>
        <w:top w:val="none" w:sz="0" w:space="0" w:color="auto"/>
        <w:left w:val="none" w:sz="0" w:space="0" w:color="auto"/>
        <w:bottom w:val="none" w:sz="0" w:space="0" w:color="auto"/>
        <w:right w:val="none" w:sz="0" w:space="0" w:color="auto"/>
      </w:divBdr>
    </w:div>
    <w:div w:id="1297443136">
      <w:bodyDiv w:val="1"/>
      <w:marLeft w:val="0"/>
      <w:marRight w:val="0"/>
      <w:marTop w:val="0"/>
      <w:marBottom w:val="0"/>
      <w:divBdr>
        <w:top w:val="none" w:sz="0" w:space="0" w:color="auto"/>
        <w:left w:val="none" w:sz="0" w:space="0" w:color="auto"/>
        <w:bottom w:val="none" w:sz="0" w:space="0" w:color="auto"/>
        <w:right w:val="none" w:sz="0" w:space="0" w:color="auto"/>
      </w:divBdr>
    </w:div>
    <w:div w:id="1326788068">
      <w:bodyDiv w:val="1"/>
      <w:marLeft w:val="0"/>
      <w:marRight w:val="0"/>
      <w:marTop w:val="0"/>
      <w:marBottom w:val="0"/>
      <w:divBdr>
        <w:top w:val="none" w:sz="0" w:space="0" w:color="auto"/>
        <w:left w:val="none" w:sz="0" w:space="0" w:color="auto"/>
        <w:bottom w:val="none" w:sz="0" w:space="0" w:color="auto"/>
        <w:right w:val="none" w:sz="0" w:space="0" w:color="auto"/>
      </w:divBdr>
    </w:div>
    <w:div w:id="1357462094">
      <w:bodyDiv w:val="1"/>
      <w:marLeft w:val="0"/>
      <w:marRight w:val="0"/>
      <w:marTop w:val="0"/>
      <w:marBottom w:val="0"/>
      <w:divBdr>
        <w:top w:val="none" w:sz="0" w:space="0" w:color="auto"/>
        <w:left w:val="none" w:sz="0" w:space="0" w:color="auto"/>
        <w:bottom w:val="none" w:sz="0" w:space="0" w:color="auto"/>
        <w:right w:val="none" w:sz="0" w:space="0" w:color="auto"/>
      </w:divBdr>
    </w:div>
    <w:div w:id="1359238014">
      <w:bodyDiv w:val="1"/>
      <w:marLeft w:val="0"/>
      <w:marRight w:val="0"/>
      <w:marTop w:val="0"/>
      <w:marBottom w:val="0"/>
      <w:divBdr>
        <w:top w:val="none" w:sz="0" w:space="0" w:color="auto"/>
        <w:left w:val="none" w:sz="0" w:space="0" w:color="auto"/>
        <w:bottom w:val="none" w:sz="0" w:space="0" w:color="auto"/>
        <w:right w:val="none" w:sz="0" w:space="0" w:color="auto"/>
      </w:divBdr>
    </w:div>
    <w:div w:id="1381251387">
      <w:bodyDiv w:val="1"/>
      <w:marLeft w:val="0"/>
      <w:marRight w:val="0"/>
      <w:marTop w:val="0"/>
      <w:marBottom w:val="0"/>
      <w:divBdr>
        <w:top w:val="none" w:sz="0" w:space="0" w:color="auto"/>
        <w:left w:val="none" w:sz="0" w:space="0" w:color="auto"/>
        <w:bottom w:val="none" w:sz="0" w:space="0" w:color="auto"/>
        <w:right w:val="none" w:sz="0" w:space="0" w:color="auto"/>
      </w:divBdr>
    </w:div>
    <w:div w:id="1418163450">
      <w:bodyDiv w:val="1"/>
      <w:marLeft w:val="0"/>
      <w:marRight w:val="0"/>
      <w:marTop w:val="0"/>
      <w:marBottom w:val="0"/>
      <w:divBdr>
        <w:top w:val="none" w:sz="0" w:space="0" w:color="auto"/>
        <w:left w:val="none" w:sz="0" w:space="0" w:color="auto"/>
        <w:bottom w:val="none" w:sz="0" w:space="0" w:color="auto"/>
        <w:right w:val="none" w:sz="0" w:space="0" w:color="auto"/>
      </w:divBdr>
    </w:div>
    <w:div w:id="1420180764">
      <w:bodyDiv w:val="1"/>
      <w:marLeft w:val="0"/>
      <w:marRight w:val="0"/>
      <w:marTop w:val="0"/>
      <w:marBottom w:val="0"/>
      <w:divBdr>
        <w:top w:val="none" w:sz="0" w:space="0" w:color="auto"/>
        <w:left w:val="none" w:sz="0" w:space="0" w:color="auto"/>
        <w:bottom w:val="none" w:sz="0" w:space="0" w:color="auto"/>
        <w:right w:val="none" w:sz="0" w:space="0" w:color="auto"/>
      </w:divBdr>
    </w:div>
    <w:div w:id="1420639774">
      <w:bodyDiv w:val="1"/>
      <w:marLeft w:val="0"/>
      <w:marRight w:val="0"/>
      <w:marTop w:val="0"/>
      <w:marBottom w:val="0"/>
      <w:divBdr>
        <w:top w:val="none" w:sz="0" w:space="0" w:color="auto"/>
        <w:left w:val="none" w:sz="0" w:space="0" w:color="auto"/>
        <w:bottom w:val="none" w:sz="0" w:space="0" w:color="auto"/>
        <w:right w:val="none" w:sz="0" w:space="0" w:color="auto"/>
      </w:divBdr>
    </w:div>
    <w:div w:id="1451581955">
      <w:bodyDiv w:val="1"/>
      <w:marLeft w:val="0"/>
      <w:marRight w:val="0"/>
      <w:marTop w:val="0"/>
      <w:marBottom w:val="0"/>
      <w:divBdr>
        <w:top w:val="none" w:sz="0" w:space="0" w:color="auto"/>
        <w:left w:val="none" w:sz="0" w:space="0" w:color="auto"/>
        <w:bottom w:val="none" w:sz="0" w:space="0" w:color="auto"/>
        <w:right w:val="none" w:sz="0" w:space="0" w:color="auto"/>
      </w:divBdr>
    </w:div>
    <w:div w:id="1460031600">
      <w:bodyDiv w:val="1"/>
      <w:marLeft w:val="0"/>
      <w:marRight w:val="0"/>
      <w:marTop w:val="0"/>
      <w:marBottom w:val="0"/>
      <w:divBdr>
        <w:top w:val="none" w:sz="0" w:space="0" w:color="auto"/>
        <w:left w:val="none" w:sz="0" w:space="0" w:color="auto"/>
        <w:bottom w:val="none" w:sz="0" w:space="0" w:color="auto"/>
        <w:right w:val="none" w:sz="0" w:space="0" w:color="auto"/>
      </w:divBdr>
    </w:div>
    <w:div w:id="1494373177">
      <w:bodyDiv w:val="1"/>
      <w:marLeft w:val="0"/>
      <w:marRight w:val="0"/>
      <w:marTop w:val="0"/>
      <w:marBottom w:val="0"/>
      <w:divBdr>
        <w:top w:val="none" w:sz="0" w:space="0" w:color="auto"/>
        <w:left w:val="none" w:sz="0" w:space="0" w:color="auto"/>
        <w:bottom w:val="none" w:sz="0" w:space="0" w:color="auto"/>
        <w:right w:val="none" w:sz="0" w:space="0" w:color="auto"/>
      </w:divBdr>
    </w:div>
    <w:div w:id="1495606689">
      <w:bodyDiv w:val="1"/>
      <w:marLeft w:val="0"/>
      <w:marRight w:val="0"/>
      <w:marTop w:val="0"/>
      <w:marBottom w:val="0"/>
      <w:divBdr>
        <w:top w:val="none" w:sz="0" w:space="0" w:color="auto"/>
        <w:left w:val="none" w:sz="0" w:space="0" w:color="auto"/>
        <w:bottom w:val="none" w:sz="0" w:space="0" w:color="auto"/>
        <w:right w:val="none" w:sz="0" w:space="0" w:color="auto"/>
      </w:divBdr>
    </w:div>
    <w:div w:id="1506701841">
      <w:bodyDiv w:val="1"/>
      <w:marLeft w:val="0"/>
      <w:marRight w:val="0"/>
      <w:marTop w:val="0"/>
      <w:marBottom w:val="0"/>
      <w:divBdr>
        <w:top w:val="none" w:sz="0" w:space="0" w:color="auto"/>
        <w:left w:val="none" w:sz="0" w:space="0" w:color="auto"/>
        <w:bottom w:val="none" w:sz="0" w:space="0" w:color="auto"/>
        <w:right w:val="none" w:sz="0" w:space="0" w:color="auto"/>
      </w:divBdr>
    </w:div>
    <w:div w:id="1511869839">
      <w:bodyDiv w:val="1"/>
      <w:marLeft w:val="0"/>
      <w:marRight w:val="0"/>
      <w:marTop w:val="0"/>
      <w:marBottom w:val="0"/>
      <w:divBdr>
        <w:top w:val="none" w:sz="0" w:space="0" w:color="auto"/>
        <w:left w:val="none" w:sz="0" w:space="0" w:color="auto"/>
        <w:bottom w:val="none" w:sz="0" w:space="0" w:color="auto"/>
        <w:right w:val="none" w:sz="0" w:space="0" w:color="auto"/>
      </w:divBdr>
    </w:div>
    <w:div w:id="1528451051">
      <w:bodyDiv w:val="1"/>
      <w:marLeft w:val="0"/>
      <w:marRight w:val="0"/>
      <w:marTop w:val="0"/>
      <w:marBottom w:val="0"/>
      <w:divBdr>
        <w:top w:val="none" w:sz="0" w:space="0" w:color="auto"/>
        <w:left w:val="none" w:sz="0" w:space="0" w:color="auto"/>
        <w:bottom w:val="none" w:sz="0" w:space="0" w:color="auto"/>
        <w:right w:val="none" w:sz="0" w:space="0" w:color="auto"/>
      </w:divBdr>
    </w:div>
    <w:div w:id="1552577735">
      <w:bodyDiv w:val="1"/>
      <w:marLeft w:val="0"/>
      <w:marRight w:val="0"/>
      <w:marTop w:val="0"/>
      <w:marBottom w:val="0"/>
      <w:divBdr>
        <w:top w:val="none" w:sz="0" w:space="0" w:color="auto"/>
        <w:left w:val="none" w:sz="0" w:space="0" w:color="auto"/>
        <w:bottom w:val="none" w:sz="0" w:space="0" w:color="auto"/>
        <w:right w:val="none" w:sz="0" w:space="0" w:color="auto"/>
      </w:divBdr>
    </w:div>
    <w:div w:id="1562254177">
      <w:bodyDiv w:val="1"/>
      <w:marLeft w:val="0"/>
      <w:marRight w:val="0"/>
      <w:marTop w:val="0"/>
      <w:marBottom w:val="0"/>
      <w:divBdr>
        <w:top w:val="none" w:sz="0" w:space="0" w:color="auto"/>
        <w:left w:val="none" w:sz="0" w:space="0" w:color="auto"/>
        <w:bottom w:val="none" w:sz="0" w:space="0" w:color="auto"/>
        <w:right w:val="none" w:sz="0" w:space="0" w:color="auto"/>
      </w:divBdr>
    </w:div>
    <w:div w:id="1578205128">
      <w:bodyDiv w:val="1"/>
      <w:marLeft w:val="0"/>
      <w:marRight w:val="0"/>
      <w:marTop w:val="0"/>
      <w:marBottom w:val="0"/>
      <w:divBdr>
        <w:top w:val="none" w:sz="0" w:space="0" w:color="auto"/>
        <w:left w:val="none" w:sz="0" w:space="0" w:color="auto"/>
        <w:bottom w:val="none" w:sz="0" w:space="0" w:color="auto"/>
        <w:right w:val="none" w:sz="0" w:space="0" w:color="auto"/>
      </w:divBdr>
    </w:div>
    <w:div w:id="1595287216">
      <w:bodyDiv w:val="1"/>
      <w:marLeft w:val="0"/>
      <w:marRight w:val="0"/>
      <w:marTop w:val="0"/>
      <w:marBottom w:val="0"/>
      <w:divBdr>
        <w:top w:val="none" w:sz="0" w:space="0" w:color="auto"/>
        <w:left w:val="none" w:sz="0" w:space="0" w:color="auto"/>
        <w:bottom w:val="none" w:sz="0" w:space="0" w:color="auto"/>
        <w:right w:val="none" w:sz="0" w:space="0" w:color="auto"/>
      </w:divBdr>
    </w:div>
    <w:div w:id="1597519074">
      <w:bodyDiv w:val="1"/>
      <w:marLeft w:val="0"/>
      <w:marRight w:val="0"/>
      <w:marTop w:val="0"/>
      <w:marBottom w:val="0"/>
      <w:divBdr>
        <w:top w:val="none" w:sz="0" w:space="0" w:color="auto"/>
        <w:left w:val="none" w:sz="0" w:space="0" w:color="auto"/>
        <w:bottom w:val="none" w:sz="0" w:space="0" w:color="auto"/>
        <w:right w:val="none" w:sz="0" w:space="0" w:color="auto"/>
      </w:divBdr>
    </w:div>
    <w:div w:id="1598445117">
      <w:bodyDiv w:val="1"/>
      <w:marLeft w:val="0"/>
      <w:marRight w:val="0"/>
      <w:marTop w:val="0"/>
      <w:marBottom w:val="0"/>
      <w:divBdr>
        <w:top w:val="none" w:sz="0" w:space="0" w:color="auto"/>
        <w:left w:val="none" w:sz="0" w:space="0" w:color="auto"/>
        <w:bottom w:val="none" w:sz="0" w:space="0" w:color="auto"/>
        <w:right w:val="none" w:sz="0" w:space="0" w:color="auto"/>
      </w:divBdr>
    </w:div>
    <w:div w:id="1603076613">
      <w:bodyDiv w:val="1"/>
      <w:marLeft w:val="0"/>
      <w:marRight w:val="0"/>
      <w:marTop w:val="0"/>
      <w:marBottom w:val="0"/>
      <w:divBdr>
        <w:top w:val="none" w:sz="0" w:space="0" w:color="auto"/>
        <w:left w:val="none" w:sz="0" w:space="0" w:color="auto"/>
        <w:bottom w:val="none" w:sz="0" w:space="0" w:color="auto"/>
        <w:right w:val="none" w:sz="0" w:space="0" w:color="auto"/>
      </w:divBdr>
    </w:div>
    <w:div w:id="1633900564">
      <w:bodyDiv w:val="1"/>
      <w:marLeft w:val="0"/>
      <w:marRight w:val="0"/>
      <w:marTop w:val="0"/>
      <w:marBottom w:val="0"/>
      <w:divBdr>
        <w:top w:val="none" w:sz="0" w:space="0" w:color="auto"/>
        <w:left w:val="none" w:sz="0" w:space="0" w:color="auto"/>
        <w:bottom w:val="none" w:sz="0" w:space="0" w:color="auto"/>
        <w:right w:val="none" w:sz="0" w:space="0" w:color="auto"/>
      </w:divBdr>
    </w:div>
    <w:div w:id="1647196074">
      <w:bodyDiv w:val="1"/>
      <w:marLeft w:val="0"/>
      <w:marRight w:val="0"/>
      <w:marTop w:val="0"/>
      <w:marBottom w:val="0"/>
      <w:divBdr>
        <w:top w:val="none" w:sz="0" w:space="0" w:color="auto"/>
        <w:left w:val="none" w:sz="0" w:space="0" w:color="auto"/>
        <w:bottom w:val="none" w:sz="0" w:space="0" w:color="auto"/>
        <w:right w:val="none" w:sz="0" w:space="0" w:color="auto"/>
      </w:divBdr>
    </w:div>
    <w:div w:id="1656376087">
      <w:bodyDiv w:val="1"/>
      <w:marLeft w:val="0"/>
      <w:marRight w:val="0"/>
      <w:marTop w:val="0"/>
      <w:marBottom w:val="0"/>
      <w:divBdr>
        <w:top w:val="none" w:sz="0" w:space="0" w:color="auto"/>
        <w:left w:val="none" w:sz="0" w:space="0" w:color="auto"/>
        <w:bottom w:val="none" w:sz="0" w:space="0" w:color="auto"/>
        <w:right w:val="none" w:sz="0" w:space="0" w:color="auto"/>
      </w:divBdr>
    </w:div>
    <w:div w:id="1671367930">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 w:id="1684668696">
      <w:bodyDiv w:val="1"/>
      <w:marLeft w:val="0"/>
      <w:marRight w:val="0"/>
      <w:marTop w:val="0"/>
      <w:marBottom w:val="0"/>
      <w:divBdr>
        <w:top w:val="none" w:sz="0" w:space="0" w:color="auto"/>
        <w:left w:val="none" w:sz="0" w:space="0" w:color="auto"/>
        <w:bottom w:val="none" w:sz="0" w:space="0" w:color="auto"/>
        <w:right w:val="none" w:sz="0" w:space="0" w:color="auto"/>
      </w:divBdr>
    </w:div>
    <w:div w:id="1755317236">
      <w:bodyDiv w:val="1"/>
      <w:marLeft w:val="0"/>
      <w:marRight w:val="0"/>
      <w:marTop w:val="0"/>
      <w:marBottom w:val="0"/>
      <w:divBdr>
        <w:top w:val="none" w:sz="0" w:space="0" w:color="auto"/>
        <w:left w:val="none" w:sz="0" w:space="0" w:color="auto"/>
        <w:bottom w:val="none" w:sz="0" w:space="0" w:color="auto"/>
        <w:right w:val="none" w:sz="0" w:space="0" w:color="auto"/>
      </w:divBdr>
    </w:div>
    <w:div w:id="1764296350">
      <w:bodyDiv w:val="1"/>
      <w:marLeft w:val="0"/>
      <w:marRight w:val="0"/>
      <w:marTop w:val="0"/>
      <w:marBottom w:val="0"/>
      <w:divBdr>
        <w:top w:val="none" w:sz="0" w:space="0" w:color="auto"/>
        <w:left w:val="none" w:sz="0" w:space="0" w:color="auto"/>
        <w:bottom w:val="none" w:sz="0" w:space="0" w:color="auto"/>
        <w:right w:val="none" w:sz="0" w:space="0" w:color="auto"/>
      </w:divBdr>
    </w:div>
    <w:div w:id="1806697236">
      <w:bodyDiv w:val="1"/>
      <w:marLeft w:val="0"/>
      <w:marRight w:val="0"/>
      <w:marTop w:val="0"/>
      <w:marBottom w:val="0"/>
      <w:divBdr>
        <w:top w:val="none" w:sz="0" w:space="0" w:color="auto"/>
        <w:left w:val="none" w:sz="0" w:space="0" w:color="auto"/>
        <w:bottom w:val="none" w:sz="0" w:space="0" w:color="auto"/>
        <w:right w:val="none" w:sz="0" w:space="0" w:color="auto"/>
      </w:divBdr>
    </w:div>
    <w:div w:id="1839299561">
      <w:bodyDiv w:val="1"/>
      <w:marLeft w:val="0"/>
      <w:marRight w:val="0"/>
      <w:marTop w:val="0"/>
      <w:marBottom w:val="0"/>
      <w:divBdr>
        <w:top w:val="none" w:sz="0" w:space="0" w:color="auto"/>
        <w:left w:val="none" w:sz="0" w:space="0" w:color="auto"/>
        <w:bottom w:val="none" w:sz="0" w:space="0" w:color="auto"/>
        <w:right w:val="none" w:sz="0" w:space="0" w:color="auto"/>
      </w:divBdr>
    </w:div>
    <w:div w:id="1891769905">
      <w:bodyDiv w:val="1"/>
      <w:marLeft w:val="0"/>
      <w:marRight w:val="0"/>
      <w:marTop w:val="0"/>
      <w:marBottom w:val="0"/>
      <w:divBdr>
        <w:top w:val="none" w:sz="0" w:space="0" w:color="auto"/>
        <w:left w:val="none" w:sz="0" w:space="0" w:color="auto"/>
        <w:bottom w:val="none" w:sz="0" w:space="0" w:color="auto"/>
        <w:right w:val="none" w:sz="0" w:space="0" w:color="auto"/>
      </w:divBdr>
    </w:div>
    <w:div w:id="1968122923">
      <w:bodyDiv w:val="1"/>
      <w:marLeft w:val="0"/>
      <w:marRight w:val="0"/>
      <w:marTop w:val="0"/>
      <w:marBottom w:val="0"/>
      <w:divBdr>
        <w:top w:val="none" w:sz="0" w:space="0" w:color="auto"/>
        <w:left w:val="none" w:sz="0" w:space="0" w:color="auto"/>
        <w:bottom w:val="none" w:sz="0" w:space="0" w:color="auto"/>
        <w:right w:val="none" w:sz="0" w:space="0" w:color="auto"/>
      </w:divBdr>
    </w:div>
    <w:div w:id="1987976521">
      <w:bodyDiv w:val="1"/>
      <w:marLeft w:val="0"/>
      <w:marRight w:val="0"/>
      <w:marTop w:val="0"/>
      <w:marBottom w:val="0"/>
      <w:divBdr>
        <w:top w:val="none" w:sz="0" w:space="0" w:color="auto"/>
        <w:left w:val="none" w:sz="0" w:space="0" w:color="auto"/>
        <w:bottom w:val="none" w:sz="0" w:space="0" w:color="auto"/>
        <w:right w:val="none" w:sz="0" w:space="0" w:color="auto"/>
      </w:divBdr>
    </w:div>
    <w:div w:id="2043553245">
      <w:bodyDiv w:val="1"/>
      <w:marLeft w:val="0"/>
      <w:marRight w:val="0"/>
      <w:marTop w:val="0"/>
      <w:marBottom w:val="0"/>
      <w:divBdr>
        <w:top w:val="none" w:sz="0" w:space="0" w:color="auto"/>
        <w:left w:val="none" w:sz="0" w:space="0" w:color="auto"/>
        <w:bottom w:val="none" w:sz="0" w:space="0" w:color="auto"/>
        <w:right w:val="none" w:sz="0" w:space="0" w:color="auto"/>
      </w:divBdr>
    </w:div>
    <w:div w:id="2045596819">
      <w:bodyDiv w:val="1"/>
      <w:marLeft w:val="0"/>
      <w:marRight w:val="0"/>
      <w:marTop w:val="0"/>
      <w:marBottom w:val="0"/>
      <w:divBdr>
        <w:top w:val="none" w:sz="0" w:space="0" w:color="auto"/>
        <w:left w:val="none" w:sz="0" w:space="0" w:color="auto"/>
        <w:bottom w:val="none" w:sz="0" w:space="0" w:color="auto"/>
        <w:right w:val="none" w:sz="0" w:space="0" w:color="auto"/>
      </w:divBdr>
    </w:div>
    <w:div w:id="2053922137">
      <w:bodyDiv w:val="1"/>
      <w:marLeft w:val="0"/>
      <w:marRight w:val="0"/>
      <w:marTop w:val="0"/>
      <w:marBottom w:val="0"/>
      <w:divBdr>
        <w:top w:val="none" w:sz="0" w:space="0" w:color="auto"/>
        <w:left w:val="none" w:sz="0" w:space="0" w:color="auto"/>
        <w:bottom w:val="none" w:sz="0" w:space="0" w:color="auto"/>
        <w:right w:val="none" w:sz="0" w:space="0" w:color="auto"/>
      </w:divBdr>
    </w:div>
    <w:div w:id="2081714358">
      <w:bodyDiv w:val="1"/>
      <w:marLeft w:val="0"/>
      <w:marRight w:val="0"/>
      <w:marTop w:val="0"/>
      <w:marBottom w:val="0"/>
      <w:divBdr>
        <w:top w:val="none" w:sz="0" w:space="0" w:color="auto"/>
        <w:left w:val="none" w:sz="0" w:space="0" w:color="auto"/>
        <w:bottom w:val="none" w:sz="0" w:space="0" w:color="auto"/>
        <w:right w:val="none" w:sz="0" w:space="0" w:color="auto"/>
      </w:divBdr>
    </w:div>
    <w:div w:id="2085644683">
      <w:bodyDiv w:val="1"/>
      <w:marLeft w:val="0"/>
      <w:marRight w:val="0"/>
      <w:marTop w:val="0"/>
      <w:marBottom w:val="0"/>
      <w:divBdr>
        <w:top w:val="none" w:sz="0" w:space="0" w:color="auto"/>
        <w:left w:val="none" w:sz="0" w:space="0" w:color="auto"/>
        <w:bottom w:val="none" w:sz="0" w:space="0" w:color="auto"/>
        <w:right w:val="none" w:sz="0" w:space="0" w:color="auto"/>
      </w:divBdr>
    </w:div>
    <w:div w:id="2097821315">
      <w:bodyDiv w:val="1"/>
      <w:marLeft w:val="0"/>
      <w:marRight w:val="0"/>
      <w:marTop w:val="0"/>
      <w:marBottom w:val="0"/>
      <w:divBdr>
        <w:top w:val="none" w:sz="0" w:space="0" w:color="auto"/>
        <w:left w:val="none" w:sz="0" w:space="0" w:color="auto"/>
        <w:bottom w:val="none" w:sz="0" w:space="0" w:color="auto"/>
        <w:right w:val="none" w:sz="0" w:space="0" w:color="auto"/>
      </w:divBdr>
      <w:divsChild>
        <w:div w:id="1597060258">
          <w:marLeft w:val="547"/>
          <w:marRight w:val="0"/>
          <w:marTop w:val="0"/>
          <w:marBottom w:val="0"/>
          <w:divBdr>
            <w:top w:val="none" w:sz="0" w:space="0" w:color="auto"/>
            <w:left w:val="none" w:sz="0" w:space="0" w:color="auto"/>
            <w:bottom w:val="none" w:sz="0" w:space="0" w:color="auto"/>
            <w:right w:val="none" w:sz="0" w:space="0" w:color="auto"/>
          </w:divBdr>
        </w:div>
        <w:div w:id="652829278">
          <w:marLeft w:val="547"/>
          <w:marRight w:val="0"/>
          <w:marTop w:val="0"/>
          <w:marBottom w:val="0"/>
          <w:divBdr>
            <w:top w:val="none" w:sz="0" w:space="0" w:color="auto"/>
            <w:left w:val="none" w:sz="0" w:space="0" w:color="auto"/>
            <w:bottom w:val="none" w:sz="0" w:space="0" w:color="auto"/>
            <w:right w:val="none" w:sz="0" w:space="0" w:color="auto"/>
          </w:divBdr>
        </w:div>
        <w:div w:id="186647832">
          <w:marLeft w:val="547"/>
          <w:marRight w:val="0"/>
          <w:marTop w:val="0"/>
          <w:marBottom w:val="0"/>
          <w:divBdr>
            <w:top w:val="none" w:sz="0" w:space="0" w:color="auto"/>
            <w:left w:val="none" w:sz="0" w:space="0" w:color="auto"/>
            <w:bottom w:val="none" w:sz="0" w:space="0" w:color="auto"/>
            <w:right w:val="none" w:sz="0" w:space="0" w:color="auto"/>
          </w:divBdr>
        </w:div>
        <w:div w:id="1785882544">
          <w:marLeft w:val="547"/>
          <w:marRight w:val="0"/>
          <w:marTop w:val="0"/>
          <w:marBottom w:val="0"/>
          <w:divBdr>
            <w:top w:val="none" w:sz="0" w:space="0" w:color="auto"/>
            <w:left w:val="none" w:sz="0" w:space="0" w:color="auto"/>
            <w:bottom w:val="none" w:sz="0" w:space="0" w:color="auto"/>
            <w:right w:val="none" w:sz="0" w:space="0" w:color="auto"/>
          </w:divBdr>
        </w:div>
        <w:div w:id="101414410">
          <w:marLeft w:val="547"/>
          <w:marRight w:val="0"/>
          <w:marTop w:val="0"/>
          <w:marBottom w:val="0"/>
          <w:divBdr>
            <w:top w:val="none" w:sz="0" w:space="0" w:color="auto"/>
            <w:left w:val="none" w:sz="0" w:space="0" w:color="auto"/>
            <w:bottom w:val="none" w:sz="0" w:space="0" w:color="auto"/>
            <w:right w:val="none" w:sz="0" w:space="0" w:color="auto"/>
          </w:divBdr>
        </w:div>
        <w:div w:id="1682514418">
          <w:marLeft w:val="547"/>
          <w:marRight w:val="0"/>
          <w:marTop w:val="0"/>
          <w:marBottom w:val="0"/>
          <w:divBdr>
            <w:top w:val="none" w:sz="0" w:space="0" w:color="auto"/>
            <w:left w:val="none" w:sz="0" w:space="0" w:color="auto"/>
            <w:bottom w:val="none" w:sz="0" w:space="0" w:color="auto"/>
            <w:right w:val="none" w:sz="0" w:space="0" w:color="auto"/>
          </w:divBdr>
        </w:div>
        <w:div w:id="1401560638">
          <w:marLeft w:val="547"/>
          <w:marRight w:val="0"/>
          <w:marTop w:val="0"/>
          <w:marBottom w:val="0"/>
          <w:divBdr>
            <w:top w:val="none" w:sz="0" w:space="0" w:color="auto"/>
            <w:left w:val="none" w:sz="0" w:space="0" w:color="auto"/>
            <w:bottom w:val="none" w:sz="0" w:space="0" w:color="auto"/>
            <w:right w:val="none" w:sz="0" w:space="0" w:color="auto"/>
          </w:divBdr>
        </w:div>
        <w:div w:id="1412852099">
          <w:marLeft w:val="547"/>
          <w:marRight w:val="0"/>
          <w:marTop w:val="0"/>
          <w:marBottom w:val="0"/>
          <w:divBdr>
            <w:top w:val="none" w:sz="0" w:space="0" w:color="auto"/>
            <w:left w:val="none" w:sz="0" w:space="0" w:color="auto"/>
            <w:bottom w:val="none" w:sz="0" w:space="0" w:color="auto"/>
            <w:right w:val="none" w:sz="0" w:space="0" w:color="auto"/>
          </w:divBdr>
        </w:div>
      </w:divsChild>
    </w:div>
    <w:div w:id="214626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Xia08</b:Tag>
    <b:SourceType>BookSection</b:SourceType>
    <b:Guid>{D5B20038-F74E-481F-9F2A-FEA8E19E78BC}</b:Guid>
    <b:Author>
      <b:Author>
        <b:NameList>
          <b:Person>
            <b:Last>Niu</b:Last>
            <b:First>Xiaoyan</b:First>
          </b:Person>
        </b:NameList>
      </b:Author>
      <b:BookAuthor>
        <b:NameList>
          <b:Person>
            <b:Last>Niu</b:Last>
            <b:First>Xiaoyan</b:First>
          </b:Person>
        </b:NameList>
      </b:BookAuthor>
    </b:Author>
    <b:Title>Theoretical and Practical Review of Capital Structure and its Determinants</b:Title>
    <b:BookTitle>Theoretical and Practical Review of Capital Structure and its Determinants</b:BookTitle>
    <b:Year>2008</b:Year>
    <b:City>Shandong, China</b:City>
    <b:Publisher>Jinan</b:Publisher>
    <b:RefOrder>15</b:RefOrder>
  </b:Source>
  <b:Source>
    <b:Tag>Ass08</b:Tag>
    <b:SourceType>DocumentFromInternetSite</b:SourceType>
    <b:Guid>{3CA5EBF3-ED51-47E2-8D4A-19B851263803}</b:Guid>
    <b:Title>Financial Structure and the Impact of Monetary Policy on Asset Prices</b:Title>
    <b:Year>2008</b:Year>
    <b:YearAccessed>2016</b:YearAccessed>
    <b:MonthAccessed>07</b:MonthAccessed>
    <b:DayAccessed>01</b:DayAccessed>
    <b:URL>http://publikationen.ub.uni-frankfurt.de/frontdoor/index/index/year/2013/docId/5830</b:URL>
    <b:Author>
      <b:Author>
        <b:NameList>
          <b:Person>
            <b:Last>Assenmacher-Wesche</b:Last>
            <b:First>Katrin</b:First>
          </b:Person>
          <b:Person>
            <b:Last>Gerlach</b:Last>
            <b:First>Stefan</b:First>
          </b:Person>
        </b:NameList>
      </b:Author>
    </b:Author>
    <b:InternetSiteTitle>Goethe University Frankfurt Library</b:InternetSiteTitle>
    <b:Month>09</b:Month>
    <b:Day>24</b:Day>
    <b:RefOrder>5</b:RefOrder>
  </b:Source>
  <b:Source>
    <b:Tag>Mod58</b:Tag>
    <b:SourceType>JournalArticle</b:SourceType>
    <b:Guid>{45DF9AA3-F957-426A-928F-3A081FED00F6}</b:Guid>
    <b:Title>The cost of capital, corporation finance and the theory of investment</b:Title>
    <b:Year>1958</b:Year>
    <b:Author>
      <b:Author>
        <b:NameList>
          <b:Person>
            <b:Last>Modigliani</b:Last>
            <b:First>Franco</b:First>
          </b:Person>
          <b:Person>
            <b:Last>Miller</b:Last>
            <b:First>Merton</b:First>
          </b:Person>
        </b:NameList>
      </b:Author>
    </b:Author>
    <b:JournalName>The American Economic Review</b:JournalName>
    <b:Pages>261-297</b:Pages>
    <b:Volume>48</b:Volume>
    <b:Issue>3</b:Issue>
    <b:RefOrder>1</b:RefOrder>
  </b:Source>
  <b:Source>
    <b:Tag>Mod63</b:Tag>
    <b:SourceType>JournalArticle</b:SourceType>
    <b:Guid>{B436F7DB-028A-4FDC-B034-A2BE801B6DB7}</b:Guid>
    <b:Title>Corporate income taxes and the cost of capital: a correction</b:Title>
    <b:JournalName>The American Economic Review</b:JournalName>
    <b:Year>1963</b:Year>
    <b:Pages>433-443</b:Pages>
    <b:Author>
      <b:Author>
        <b:NameList>
          <b:Person>
            <b:Last>Modigliani</b:Last>
            <b:First>Franco</b:First>
          </b:Person>
          <b:Person>
            <b:Last>Miller</b:Last>
            <b:First>Merton</b:First>
          </b:Person>
        </b:NameList>
      </b:Author>
    </b:Author>
    <b:Volume>53</b:Volume>
    <b:Issue>3</b:Issue>
    <b:RefOrder>2</b:RefOrder>
  </b:Source>
  <b:Source>
    <b:Tag>Rev15</b:Tag>
    <b:SourceType>DocumentFromInternetSite</b:SourceType>
    <b:Guid>{37BA3E81-1192-4ACA-B706-A1D7AE528794}</b:Guid>
    <b:Title>Crecimiento económico: cuáles sectores ganan, pierden y quedan igual</b:Title>
    <b:Year>2015</b:Year>
    <b:Author>
      <b:Author>
        <b:Corporate>Revista Dinero</b:Corporate>
      </b:Author>
    </b:Author>
    <b:PeriodicalTitle>Revista Dinero</b:PeriodicalTitle>
    <b:Month>12</b:Month>
    <b:Day>6</b:Day>
    <b:YearAccessed>2016</b:YearAccessed>
    <b:MonthAccessed>7</b:MonthAccessed>
    <b:DayAccessed>30</b:DayAccessed>
    <b:URL>http://www.dinero.com/economia/articulo/crecimiento-del-producto-interno-bruto-colombia-primer-trimestre-2015/209538</b:URL>
    <b:InternetSiteTitle>www.dinero.com</b:InternetSiteTitle>
    <b:RefOrder>3</b:RefOrder>
  </b:Source>
  <b:Source>
    <b:Tag>Mye841</b:Tag>
    <b:SourceType>JournalArticle</b:SourceType>
    <b:Guid>{88BDAC60-7A01-4631-BDE9-29915586997D}</b:Guid>
    <b:Title>Corporate financing and investment decisions when firms have information that investors do not have</b:Title>
    <b:Year>1984</b:Year>
    <b:Author>
      <b:Author>
        <b:NameList>
          <b:Person>
            <b:Last>Myers</b:Last>
            <b:First>Stewart</b:First>
          </b:Person>
          <b:Person>
            <b:Last>Majluf</b:Last>
            <b:First>Nicholas</b:First>
          </b:Person>
        </b:NameList>
      </b:Author>
    </b:Author>
    <b:JournalName>Journal of financial economics</b:JournalName>
    <b:Pages>187-221</b:Pages>
    <b:Volume>13</b:Volume>
    <b:Issue>2</b:Issue>
    <b:RefOrder>4</b:RefOrder>
  </b:Source>
  <b:Source>
    <b:Tag>Mil77</b:Tag>
    <b:SourceType>JournalArticle</b:SourceType>
    <b:Guid>{0ACE3CEB-834D-41AA-8F6A-07600C180863}</b:Guid>
    <b:Title>Debt and Taxes</b:Title>
    <b:JournalName>The Journal of Finance</b:JournalName>
    <b:Year>1977</b:Year>
    <b:Pages>261-275</b:Pages>
    <b:Author>
      <b:Author>
        <b:NameList>
          <b:Person>
            <b:Last>Miller</b:Last>
            <b:First>Merton</b:First>
          </b:Person>
        </b:NameList>
      </b:Author>
    </b:Author>
    <b:Volume>32</b:Volume>
    <b:Issue>2</b:Issue>
    <b:RefOrder>6</b:RefOrder>
  </b:Source>
  <b:Source>
    <b:Tag>Lel94</b:Tag>
    <b:SourceType>JournalArticle</b:SourceType>
    <b:Guid>{9F6516F4-A2AE-4F55-89CC-D5ED740F30C4}</b:Guid>
    <b:Title>Corporate debt value, bond covenants, and optimal capital structure</b:Title>
    <b:JournalName>The Journal of Finance</b:JournalName>
    <b:Year>1994</b:Year>
    <b:Pages>1213-1252</b:Pages>
    <b:Author>
      <b:Author>
        <b:NameList>
          <b:Person>
            <b:Last>Leland</b:Last>
            <b:First>Hayne</b:First>
          </b:Person>
        </b:NameList>
      </b:Author>
    </b:Author>
    <b:Volume>49</b:Volume>
    <b:Issue>4</b:Issue>
    <b:RefOrder>7</b:RefOrder>
  </b:Source>
  <b:Source>
    <b:Tag>Lel96</b:Tag>
    <b:SourceType>JournalArticle</b:SourceType>
    <b:Guid>{DA3ED916-01D8-4D38-88C5-9F636D4B5E1E}</b:Guid>
    <b:Title>Optimal capital structure, endogenous bankruptcy, and the term structure of credit spreads</b:Title>
    <b:JournalName>The Journal of Finance</b:JournalName>
    <b:Year>1996</b:Year>
    <b:Pages>987-1019</b:Pages>
    <b:Volume>51</b:Volume>
    <b:Issue>3</b:Issue>
    <b:Author>
      <b:Author>
        <b:NameList>
          <b:Person>
            <b:Last>Leland</b:Last>
            <b:First>Hayne</b:First>
          </b:Person>
          <b:Person>
            <b:Last>Toft</b:Last>
            <b:First>Klaus B.</b:First>
          </b:Person>
        </b:NameList>
      </b:Author>
    </b:Author>
    <b:RefOrder>8</b:RefOrder>
  </b:Source>
  <b:Source>
    <b:Tag>Raj95</b:Tag>
    <b:SourceType>JournalArticle</b:SourceType>
    <b:Guid>{8C35948B-6EBD-4A8E-A50C-D75E6B0C555B}</b:Guid>
    <b:Title>What do we know about capital structure? Some evidence from international data</b:Title>
    <b:JournalName>The Journal of Finance</b:JournalName>
    <b:Year>1995</b:Year>
    <b:Pages>1421-1460</b:Pages>
    <b:Author>
      <b:Author>
        <b:NameList>
          <b:Person>
            <b:Last>Rajan</b:Last>
            <b:First>Raghuram</b:First>
          </b:Person>
          <b:Person>
            <b:Last>Zingales</b:Last>
            <b:First>Luigi</b:First>
          </b:Person>
        </b:NameList>
      </b:Author>
    </b:Author>
    <b:Volume>50</b:Volume>
    <b:Issue>5</b:Issue>
    <b:RefOrder>9</b:RefOrder>
  </b:Source>
  <b:Source>
    <b:Tag>Bak02</b:Tag>
    <b:SourceType>JournalArticle</b:SourceType>
    <b:Guid>{9196FDF7-543F-4785-9CAE-41AF955E96A1}</b:Guid>
    <b:Title>Market timing and capital structure</b:Title>
    <b:JournalName>The Journal of Finance</b:JournalName>
    <b:Year>2002</b:Year>
    <b:Pages>1-32</b:Pages>
    <b:Author>
      <b:Author>
        <b:NameList>
          <b:Person>
            <b:Last>Baker</b:Last>
            <b:First>Malcolm</b:First>
          </b:Person>
          <b:Person>
            <b:Last>Wurgler</b:Last>
            <b:First>Jeffrey</b:First>
          </b:Person>
        </b:NameList>
      </b:Author>
    </b:Author>
    <b:Volume>57</b:Volume>
    <b:Issue>1</b:Issue>
    <b:RefOrder>10</b:RefOrder>
  </b:Source>
  <b:Source>
    <b:Tag>Ros77</b:Tag>
    <b:SourceType>JournalArticle</b:SourceType>
    <b:Guid>{30638733-3A92-4D81-8D09-70C2E59FA5C9}</b:Guid>
    <b:Title>The determination of financial structure: the incentive-signalling approach</b:Title>
    <b:JournalName>The Bell Journal of Economics</b:JournalName>
    <b:Year>1977</b:Year>
    <b:Pages>23-40</b:Pages>
    <b:Author>
      <b:Author>
        <b:NameList>
          <b:Person>
            <b:Last>Ross</b:Last>
            <b:First>Stephen</b:First>
          </b:Person>
        </b:NameList>
      </b:Author>
    </b:Author>
    <b:Volume>8</b:Volume>
    <b:Issue>1</b:Issue>
    <b:RefOrder>11</b:RefOrder>
  </b:Source>
  <b:Source>
    <b:Tag>Cés10</b:Tag>
    <b:SourceType>JournalArticle</b:SourceType>
    <b:Guid>{59B03F9F-D5C2-47AD-ABE1-96CF8B6CBDE4}</b:Guid>
    <b:Title>Ownership and capital structure in Latin America</b:Title>
    <b:JournalName>Journal of Business Research</b:JournalName>
    <b:Year>2010</b:Year>
    <b:Pages>248-254</b:Pages>
    <b:Author>
      <b:Author>
        <b:NameList>
          <b:Person>
            <b:Last>Céspedes</b:Last>
            <b:First>Jacelly</b:First>
          </b:Person>
          <b:Person>
            <b:Last>González</b:Last>
            <b:First>Maximiliano</b:First>
          </b:Person>
          <b:Person>
            <b:Last>Molina</b:Last>
            <b:First>Carlos Alberto</b:First>
          </b:Person>
        </b:NameList>
      </b:Author>
    </b:Author>
    <b:Volume>63</b:Volume>
    <b:Issue>3</b:Issue>
    <b:RefOrder>12</b:RefOrder>
  </b:Source>
  <b:Source>
    <b:Tag>Vir12</b:Tag>
    <b:SourceType>JournalArticle</b:SourceType>
    <b:Guid>{2EA7D0A5-B2C6-4FDE-824B-DE96CE4BF85D}</b:Guid>
    <b:Title>Condiciones financieras que impactan la estructura financiera de la industria de cosméticos y aseo en Colombia</b:Title>
    <b:JournalName>Cuadernos de Administración</b:JournalName>
    <b:Year>2012</b:Year>
    <b:Pages>175-191</b:Pages>
    <b:Author>
      <b:Author>
        <b:NameList>
          <b:Person>
            <b:Last>Virgen</b:Last>
            <b:First>Viviana</b:First>
          </b:Person>
          <b:Person>
            <b:Last>Rivera</b:Last>
            <b:First>Jorge Alberto</b:First>
          </b:Person>
        </b:NameList>
      </b:Author>
    </b:Author>
    <b:Volume>25</b:Volume>
    <b:Issue>44</b:Issue>
    <b:RefOrder>13</b:RefOrder>
  </b:Source>
  <b:Source>
    <b:Tag>Ten06</b:Tag>
    <b:SourceType>JournalArticle</b:SourceType>
    <b:Guid>{2040E5EB-3CF5-4B07-9371-E8773CF415F0}</b:Guid>
    <b:Title>Determinantes de la estructura de capital de las empresas (1996-2002)</b:Title>
    <b:JournalName>Borradores de Economía</b:JournalName>
    <b:Year>2006</b:Year>
    <b:Pages>1-38</b:Pages>
    <b:Author>
      <b:Author>
        <b:NameList>
          <b:Person>
            <b:Last>Tenjo</b:Last>
            <b:First>Fernando</b:First>
          </b:Person>
          <b:Person>
            <b:Last>López</b:Last>
            <b:First>Enrique</b:First>
          </b:Person>
          <b:Person>
            <b:Last>Zamudio</b:Last>
            <b:First>Nancy</b:First>
          </b:Person>
        </b:NameList>
      </b:Author>
    </b:Author>
    <b:Issue>380</b:Issue>
    <b:RefOrder>14</b:RefOrder>
  </b:Source>
  <b:Source>
    <b:Tag>Niu08</b:Tag>
    <b:SourceType>JournalArticle</b:SourceType>
    <b:Guid>{5DA09851-4679-4A83-87DF-7BE3029CA3F6}</b:Guid>
    <b:Title>Theoretical and practical review of capital structure and its determinants</b:Title>
    <b:JournalName>International Journal of Business and Management</b:JournalName>
    <b:Year>2008</b:Year>
    <b:Pages>133-139</b:Pages>
    <b:Author>
      <b:Author>
        <b:NameList>
          <b:Person>
            <b:Last>Niu</b:Last>
            <b:First>Xiaoyan</b:First>
          </b:Person>
        </b:NameList>
      </b:Author>
    </b:Author>
    <b:Volume>3</b:Volume>
    <b:Issue>3</b:Issue>
    <b:RefOrder>16</b:RefOrder>
  </b:Source>
  <b:Source>
    <b:Tag>Rei09</b:Tag>
    <b:SourceType>Book</b:SourceType>
    <b:Guid>{ADDE78E5-A615-4B4D-A1C1-8404CB6B8F9F}</b:Guid>
    <b:Title>This time is different: Eight centuries of financial folly</b:Title>
    <b:Year>2009</b:Year>
    <b:Author>
      <b:Author>
        <b:NameList>
          <b:Person>
            <b:Last>Reinhart</b:Last>
            <b:First>Carmen M.</b:First>
          </b:Person>
          <b:Person>
            <b:Last>Rogoff</b:Last>
            <b:First>Kenneth S.</b:First>
          </b:Person>
        </b:NameList>
      </b:Author>
    </b:Author>
    <b:City>New Jersey</b:City>
    <b:Publisher>Princeton University Press</b:Publisher>
    <b:RefOrder>17</b:RefOrder>
  </b:Source>
  <b:Source>
    <b:Tag>Min</b:Tag>
    <b:SourceType>Book</b:SourceType>
    <b:Guid>{2CC4908A-4EC2-4A77-82EE-B7EB7EEAB99B}</b:Guid>
    <b:Author>
      <b:Author>
        <b:NameList>
          <b:Person>
            <b:Last>Minsky</b:Last>
            <b:First>Hyman</b:First>
          </b:Person>
        </b:NameList>
      </b:Author>
    </b:Author>
    <b:Title>Can’t it happend again: essays on instability and finance</b:Title>
    <b:JournalName>M.E Sharpe, Inc</b:JournalName>
    <b:City>Armonk, NY</b:City>
    <b:Year>1982</b:Year>
    <b:Publisher>M.E Sharpe, Inc</b:Publisher>
    <b:RefOrder>18</b:RefOrder>
  </b:Source>
  <b:Source>
    <b:Tag>Mye84</b:Tag>
    <b:SourceType>JournalArticle</b:SourceType>
    <b:Guid>{9BE2070B-761A-4EB6-BBEF-973245CECCB2}</b:Guid>
    <b:Title>The capital structure puzzle</b:Title>
    <b:JournalName>The Journal of Finance</b:JournalName>
    <b:Year>1984</b:Year>
    <b:Pages>574-592</b:Pages>
    <b:Author>
      <b:Author>
        <b:NameList>
          <b:Person>
            <b:Last>Myers</b:Last>
            <b:First>Stewart</b:First>
          </b:Person>
        </b:NameList>
      </b:Author>
    </b:Author>
    <b:Volume>39</b:Volume>
    <b:Issue>3</b:Issue>
    <b:RefOrder>19</b:RefOrder>
  </b:Source>
  <b:Source>
    <b:Tag>Mor</b:Tag>
    <b:SourceType>Report</b:SourceType>
    <b:Guid>{1DC714FE-D091-4419-A04F-56907BB4F259}</b:Guid>
    <b:Title>Fragilidad financiera de las firmas en Colombia, 2000-2006: Un análisis discriminante de un modelo Minskiano</b:Title>
    <b:Author>
      <b:Author>
        <b:NameList>
          <b:Person>
            <b:Last>Rodriguez</b:Last>
            <b:First>J.I</b:First>
          </b:Person>
          <b:Person>
            <b:Last>Moreno</b:Last>
            <b:First>A.M</b:First>
          </b:Person>
        </b:NameList>
      </b:Author>
    </b:Author>
    <b:Year>2011</b:Year>
    <b:City>Bogotá</b:City>
    <b:Publisher>Facultad de Ciencias Económicas, Universidad Nacional</b:Publisher>
    <b:RefOrder>20</b:RefOrder>
  </b:Source>
  <b:Source>
    <b:Tag>Moo12</b:Tag>
    <b:SourceType>ConferenceProceedings</b:SourceType>
    <b:Guid>{11AC7716-5163-4662-A413-DA6EA39235A4}</b:Guid>
    <b:Title>The postmodern Ponzi scheme: empirical analysis of high-yield investment programs</b:Title>
    <b:Year>2012</b:Year>
    <b:City>Berlin</b:City>
    <b:Publisher>Springer</b:Publisher>
    <b:Author>
      <b:Author>
        <b:NameList>
          <b:Person>
            <b:Last>Moore</b:Last>
            <b:First>Tyler</b:First>
          </b:Person>
          <b:Person>
            <b:Last>Han</b:Last>
            <b:First>Yie</b:First>
          </b:Person>
          <b:Person>
            <b:Last>Clayton</b:Last>
            <b:First>Richard</b:First>
          </b:Person>
        </b:NameList>
      </b:Author>
    </b:Author>
    <b:Volume>7397</b:Volume>
    <b:Pages>41-56</b:Pages>
    <b:ConferenceName>International Conference on financial cryptography and data security</b:ConferenceName>
    <b:RefOrder>21</b:RefOrder>
  </b:Source>
</b:Sources>
</file>

<file path=customXml/itemProps1.xml><?xml version="1.0" encoding="utf-8"?>
<ds:datastoreItem xmlns:ds="http://schemas.openxmlformats.org/officeDocument/2006/customXml" ds:itemID="{2E706B67-448F-954B-95B3-AEEB72207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20</Pages>
  <Words>8282</Words>
  <Characters>45557</Characters>
  <Application>Microsoft Macintosh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defal</dc:creator>
  <cp:lastModifiedBy>mauricio Gil Leon</cp:lastModifiedBy>
  <cp:revision>51</cp:revision>
  <cp:lastPrinted>2015-11-27T16:23:00Z</cp:lastPrinted>
  <dcterms:created xsi:type="dcterms:W3CDTF">2017-11-29T17:56:00Z</dcterms:created>
  <dcterms:modified xsi:type="dcterms:W3CDTF">2018-01-04T01:49:00Z</dcterms:modified>
</cp:coreProperties>
</file>